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0"/>
        <w:contextualSpacing/>
        <w:jc w:val="center"/>
        <w:rPr>
          <w:rFonts w:ascii="Times New Roman" w:hAnsi="Times New Roman" w:cs="Times New Roman"/>
          <w:color w:val="00B050"/>
          <w:sz w:val="24"/>
          <w:szCs w:val="24"/>
        </w:rPr>
      </w:pPr>
      <w:r>
        <w:rPr>
          <w:rFonts w:cs="Times New Roman" w:ascii="Times New Roman" w:hAnsi="Times New Roman"/>
          <w:color w:val="00B050"/>
          <w:sz w:val="24"/>
          <w:szCs w:val="24"/>
        </w:rPr>
      </w:r>
    </w:p>
    <w:p>
      <w:pPr>
        <w:pStyle w:val="Normal"/>
        <w:spacing w:lineRule="atLeast" w:line="20" w:before="0" w:after="120"/>
        <w:contextualSpacing/>
        <w:jc w:val="center"/>
        <w:rPr>
          <w:rFonts w:ascii="Times New Roman" w:hAnsi="Times New Roman"/>
        </w:rPr>
      </w:pPr>
      <w:r>
        <w:rPr>
          <w:rFonts w:cs="Times New Roman" w:ascii="Times New Roman" w:hAnsi="Times New Roman"/>
          <w:b/>
          <w:bCs/>
          <w:sz w:val="32"/>
          <w:szCs w:val="32"/>
        </w:rPr>
        <w:t>HIGIENOS INSTITUTAS</w:t>
      </w:r>
    </w:p>
    <w:p>
      <w:pPr>
        <w:pStyle w:val="Normal"/>
        <w:spacing w:lineRule="auto" w:line="240" w:before="0" w:after="0"/>
        <w:contextualSpacing/>
        <w:jc w:val="center"/>
        <w:rPr>
          <w:rFonts w:ascii="Times New Roman" w:hAnsi="Times New Roman"/>
          <w:sz w:val="20"/>
          <w:szCs w:val="20"/>
        </w:rPr>
      </w:pPr>
      <w:r>
        <w:rPr>
          <w:rFonts w:cs="Times New Roman" w:ascii="Times New Roman" w:hAnsi="Times New Roman"/>
          <w:sz w:val="20"/>
          <w:szCs w:val="20"/>
        </w:rPr>
        <w:t>Įstaigos kodas 111958286</w:t>
      </w:r>
    </w:p>
    <w:p>
      <w:pPr>
        <w:pStyle w:val="Normal"/>
        <w:spacing w:lineRule="auto" w:line="240" w:before="0" w:after="0"/>
        <w:contextualSpacing/>
        <w:jc w:val="center"/>
        <w:rPr>
          <w:rFonts w:ascii="Times New Roman" w:hAnsi="Times New Roman" w:cs="Times New Roman"/>
          <w:sz w:val="20"/>
          <w:szCs w:val="20"/>
        </w:rPr>
      </w:pPr>
      <w:r>
        <w:rPr>
          <w:rFonts w:cs="Times New Roman" w:ascii="Times New Roman" w:hAnsi="Times New Roman"/>
          <w:sz w:val="20"/>
          <w:szCs w:val="20"/>
        </w:rPr>
        <w:t>Studentų g. 45A, LT-08107 Vilnius</w:t>
      </w:r>
    </w:p>
    <w:p>
      <w:pPr>
        <w:pStyle w:val="Normal"/>
        <w:spacing w:lineRule="auto" w:line="240" w:before="0" w:after="0"/>
        <w:contextualSpacing/>
        <w:jc w:val="center"/>
        <w:rPr>
          <w:b w:val="false"/>
          <w:bCs w:val="false"/>
        </w:rPr>
      </w:pPr>
      <w:bookmarkStart w:id="0" w:name="_Hlk196227754"/>
      <w:r>
        <w:rPr>
          <w:rFonts w:cs="Times New Roman" w:ascii="Times New Roman" w:hAnsi="Times New Roman"/>
          <w:b w:val="false"/>
          <w:bCs w:val="false"/>
          <w:sz w:val="20"/>
          <w:szCs w:val="20"/>
        </w:rPr>
        <w:t>+370 5 262 4583, institutas@hi.lt</w:t>
      </w:r>
      <w:bookmarkEnd w:id="0"/>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870" w:leader="none"/>
        </w:tabs>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tab/>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PATVIRTINTA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Perkančiosios organizacijos Viešųjų pirkimų komisijos 202</w:t>
      </w:r>
      <w:r>
        <w:rPr>
          <w:rFonts w:cs="Times New Roman" w:ascii="Times New Roman" w:hAnsi="Times New Roman"/>
          <w:sz w:val="24"/>
          <w:szCs w:val="24"/>
          <w:lang w:val="en-US"/>
        </w:rPr>
        <w:t>6</w:t>
      </w:r>
      <w:r>
        <w:rPr>
          <w:rFonts w:cs="Times New Roman" w:ascii="Times New Roman" w:hAnsi="Times New Roman"/>
          <w:sz w:val="24"/>
          <w:szCs w:val="24"/>
        </w:rPr>
        <w:t>-</w:t>
      </w:r>
      <w:r>
        <w:rPr>
          <w:rFonts w:cs="Times New Roman" w:ascii="Times New Roman" w:hAnsi="Times New Roman"/>
          <w:sz w:val="24"/>
          <w:szCs w:val="24"/>
          <w:lang w:val="en-US"/>
        </w:rPr>
        <w:t>0</w:t>
      </w:r>
      <w:r>
        <w:rPr>
          <w:rFonts w:cs="Times New Roman" w:ascii="Times New Roman" w:hAnsi="Times New Roman"/>
          <w:sz w:val="24"/>
          <w:szCs w:val="24"/>
        </w:rPr>
        <w:t xml:space="preserve">1-    protokolu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PAKEITIMAI PATVIRTINTI: </w:t>
      </w:r>
    </w:p>
    <w:p>
      <w:pPr>
        <w:pStyle w:val="Normal"/>
        <w:spacing w:lineRule="atLeast" w:line="20" w:before="0" w:after="120"/>
        <w:ind w:left="5245"/>
        <w:contextualSpacing/>
        <w:rPr>
          <w:rFonts w:ascii="Times New Roman" w:hAnsi="Times New Roman" w:cs="Times New Roman"/>
          <w:i/>
          <w:i/>
          <w:iCs/>
          <w:sz w:val="24"/>
          <w:szCs w:val="24"/>
        </w:rPr>
      </w:pPr>
      <w:r>
        <w:rPr>
          <w:rFonts w:cs="Times New Roman" w:ascii="Times New Roman" w:hAnsi="Times New Roman"/>
          <w:i/>
          <w:iCs/>
          <w:sz w:val="24"/>
          <w:szCs w:val="24"/>
        </w:rPr>
        <w:t>NETAIKOMA</w:t>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textAlignment w:val="baseline"/>
        <w:rPr>
          <w:sz w:val="28"/>
          <w:szCs w:val="28"/>
        </w:rPr>
      </w:pPr>
      <w:r>
        <w:rPr>
          <w:rFonts w:cs="Times New Roman" w:ascii="Times New Roman" w:hAnsi="Times New Roman"/>
          <w:b/>
          <w:bCs/>
          <w:sz w:val="28"/>
          <w:szCs w:val="28"/>
          <w:lang w:val="en-US"/>
        </w:rPr>
        <w:t>MA</w:t>
      </w:r>
      <w:r>
        <w:rPr>
          <w:rFonts w:cs="Times New Roman" w:ascii="Times New Roman" w:hAnsi="Times New Roman"/>
          <w:b/>
          <w:bCs/>
          <w:sz w:val="28"/>
          <w:szCs w:val="28"/>
          <w:lang w:val="lt-LT"/>
        </w:rPr>
        <w:t>ŽOS VERTĖS</w:t>
      </w:r>
      <w:r>
        <w:rPr>
          <w:rFonts w:cs="Times New Roman" w:ascii="Times New Roman" w:hAnsi="Times New Roman"/>
          <w:b/>
          <w:bCs/>
          <w:sz w:val="28"/>
          <w:szCs w:val="28"/>
        </w:rPr>
        <w:t xml:space="preserve"> PIRKIMO „TUESI.LT VIEŠINIMAS: ŽENKLO ATRIBUTIKOS GAMYBA IR SKLAIDA“ </w:t>
      </w:r>
    </w:p>
    <w:p>
      <w:pPr>
        <w:pStyle w:val="Normal"/>
        <w:spacing w:lineRule="auto" w:line="240" w:before="0" w:after="0"/>
        <w:contextualSpacing/>
        <w:jc w:val="center"/>
        <w:rPr>
          <w:sz w:val="28"/>
          <w:szCs w:val="28"/>
        </w:rPr>
      </w:pPr>
      <w:r>
        <w:rPr>
          <w:rFonts w:cs="Times New Roman" w:ascii="Times New Roman" w:hAnsi="Times New Roman"/>
          <w:b/>
          <w:bCs/>
          <w:sz w:val="28"/>
          <w:szCs w:val="28"/>
        </w:rPr>
        <w:t xml:space="preserve">APKLAUSOS SPECIALIOSIOS SĄLYGOS </w:t>
      </w:r>
    </w:p>
    <w:p>
      <w:pPr>
        <w:pStyle w:val="Normal"/>
        <w:spacing w:lineRule="atLeast" w:line="20" w:before="0" w:after="0"/>
        <w:contextualSpacing/>
        <w:jc w:val="center"/>
        <w:rPr>
          <w:sz w:val="28"/>
          <w:szCs w:val="28"/>
        </w:rPr>
      </w:pPr>
      <w:r>
        <w:rPr>
          <w:rFonts w:cs="Times New Roman" w:ascii="Times New Roman" w:hAnsi="Times New Roman"/>
          <w:b/>
          <w:bCs/>
          <w:sz w:val="28"/>
          <w:szCs w:val="28"/>
        </w:rPr>
        <w:t>Versija Nr. 1</w:t>
      </w:r>
    </w:p>
    <w:p>
      <w:pPr>
        <w:pStyle w:val="Normal"/>
        <w:spacing w:lineRule="atLeast" w:line="20" w:before="0" w:after="0"/>
        <w:contextualSpacing/>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0"/>
        <w:contextualSpacing/>
        <w:rPr>
          <w:rFonts w:ascii="Times New Roman" w:hAnsi="Times New Roman" w:cs="Times New Roman"/>
          <w:sz w:val="24"/>
          <w:szCs w:val="24"/>
        </w:rPr>
      </w:pPr>
      <w:r>
        <w:rPr>
          <w:rFonts w:cs="Times New Roman" w:ascii="Times New Roman" w:hAnsi="Times New Roman"/>
          <w:sz w:val="24"/>
          <w:szCs w:val="24"/>
        </w:rPr>
      </w:r>
    </w:p>
    <w:sdt>
      <w:sdtPr>
        <w:docPartObj>
          <w:docPartGallery w:val="Table of Contents"/>
          <w:docPartUnique w:val="true"/>
        </w:docPartObj>
      </w:sdtPr>
      <w:sdtContent>
        <w:p>
          <w:pPr>
            <w:pStyle w:val="TOCHeading"/>
            <w:spacing w:lineRule="atLeast" w:line="20" w:before="0" w:after="0"/>
            <w:ind w:hanging="432" w:left="432"/>
            <w:contextualSpacing/>
            <w:rPr>
              <w:rFonts w:ascii="Times New Roman" w:hAnsi="Times New Roman" w:cs="Times New Roman"/>
              <w:sz w:val="24"/>
              <w:szCs w:val="24"/>
            </w:rPr>
          </w:pPr>
          <w:r>
            <w:br w:type="page"/>
          </w:r>
          <w:r>
            <w:rPr>
              <w:rFonts w:cs="Times New Roman" w:ascii="Times New Roman" w:hAnsi="Times New Roman"/>
              <w:sz w:val="24"/>
              <w:szCs w:val="24"/>
            </w:rPr>
            <w:t>TURINYS</w:t>
          </w:r>
        </w:p>
        <w:p>
          <w:pPr>
            <w:pStyle w:val="TOC1"/>
            <w:tabs>
              <w:tab w:val="left" w:pos="142" w:leader="none"/>
              <w:tab w:val="left" w:pos="720" w:leader="none"/>
              <w:tab w:val="right" w:pos="9962" w:leader="dot"/>
            </w:tabs>
            <w:rPr>
              <w:kern w:val="2"/>
              <w:sz w:val="24"/>
              <w:szCs w:val="24"/>
              <w14:ligatures w14:val="standardContextual"/>
            </w:rPr>
          </w:pPr>
          <w:r>
            <w:fldChar w:fldCharType="begin"/>
          </w:r>
          <w:r>
            <w:rPr>
              <w:webHidden/>
              <w:rStyle w:val="IndexLink"/>
              <w:vanish w:val="false"/>
              <w:rFonts w:cs="Times New Roman" w:ascii="Times New Roman" w:hAnsi="Times New Roman"/>
            </w:rPr>
            <w:instrText xml:space="preserve"> TOC \z \o "1-3" \u \h</w:instrText>
          </w:r>
          <w:r>
            <w:rPr>
              <w:webHidden/>
              <w:rStyle w:val="IndexLink"/>
              <w:vanish w:val="false"/>
              <w:rFonts w:cs="Times New Roman" w:ascii="Times New Roman" w:hAnsi="Times New Roman"/>
            </w:rPr>
            <w:fldChar w:fldCharType="separate"/>
          </w:r>
          <w:hyperlink w:anchor="_Toc196987773">
            <w:r>
              <w:rPr>
                <w:webHidden/>
                <w:rStyle w:val="IndexLink"/>
                <w:rFonts w:cs="Times New Roman" w:ascii="Times New Roman" w:hAnsi="Times New Roman"/>
                <w:vanish w:val="false"/>
              </w:rPr>
              <w:t>1.</w:t>
            </w:r>
            <w:r>
              <w:rPr>
                <w:rStyle w:val="IndexLink"/>
                <w:kern w:val="2"/>
                <w:sz w:val="24"/>
                <w:szCs w:val="24"/>
                <w14:ligatures w14:val="standardContextual"/>
              </w:rPr>
              <w:tab/>
            </w:r>
            <w:r>
              <w:rPr>
                <w:rStyle w:val="IndexLink"/>
                <w:rFonts w:cs="Times New Roman" w:ascii="Times New Roman" w:hAnsi="Times New Roman"/>
              </w:rPr>
              <w:t>Bendra informacija</w:t>
            </w:r>
            <w:r>
              <w:rPr>
                <w:webHidden/>
              </w:rPr>
              <w:fldChar w:fldCharType="begin"/>
            </w:r>
            <w:r>
              <w:rPr>
                <w:webHidden/>
              </w:rPr>
              <w:instrText xml:space="preserve">PAGEREF _Toc196987773 \h</w:instrText>
            </w:r>
            <w:r>
              <w:rPr>
                <w:webHidden/>
              </w:rPr>
              <w:fldChar w:fldCharType="separate"/>
            </w:r>
            <w:r>
              <w:rPr>
                <w:rStyle w:val="IndexLink"/>
                <w:vanish w:val="false"/>
              </w:rPr>
              <w:tab/>
              <w:t>2</w:t>
            </w:r>
            <w:r>
              <w:rPr>
                <w:webHidden/>
              </w:rPr>
              <w:fldChar w:fldCharType="end"/>
            </w:r>
          </w:hyperlink>
        </w:p>
        <w:p>
          <w:pPr>
            <w:pStyle w:val="TOC1"/>
            <w:rPr>
              <w:kern w:val="2"/>
              <w:sz w:val="24"/>
              <w:szCs w:val="24"/>
              <w14:ligatures w14:val="standardContextual"/>
            </w:rPr>
          </w:pPr>
          <w:hyperlink w:anchor="_Toc196987774">
            <w:r>
              <w:rPr>
                <w:webHidden/>
                <w:rStyle w:val="IndexLink"/>
                <w:rFonts w:cs="Times New Roman" w:ascii="Times New Roman" w:hAnsi="Times New Roman"/>
                <w:vanish w:val="false"/>
              </w:rPr>
              <w:t>2. Pirkimo objektas</w:t>
            </w:r>
            <w:r>
              <w:rPr>
                <w:webHidden/>
              </w:rPr>
              <w:fldChar w:fldCharType="begin"/>
            </w:r>
            <w:r>
              <w:rPr>
                <w:webHidden/>
              </w:rPr>
              <w:instrText xml:space="preserve">PAGEREF _Toc196987774 \h</w:instrText>
            </w:r>
            <w:r>
              <w:rPr>
                <w:webHidden/>
              </w:rPr>
              <w:fldChar w:fldCharType="separate"/>
            </w:r>
            <w:r>
              <w:rPr>
                <w:rStyle w:val="IndexLink"/>
                <w:vanish w:val="false"/>
              </w:rPr>
              <w:tab/>
              <w:t>2</w:t>
            </w:r>
            <w:r>
              <w:rPr>
                <w:webHidden/>
              </w:rPr>
              <w:fldChar w:fldCharType="end"/>
            </w:r>
          </w:hyperlink>
        </w:p>
        <w:p>
          <w:pPr>
            <w:pStyle w:val="TOC1"/>
            <w:rPr>
              <w:kern w:val="2"/>
              <w:sz w:val="24"/>
              <w:szCs w:val="24"/>
              <w14:ligatures w14:val="standardContextual"/>
            </w:rPr>
          </w:pPr>
          <w:hyperlink w:anchor="_Toc196987775">
            <w:r>
              <w:rPr>
                <w:webHidden/>
                <w:rStyle w:val="IndexLink"/>
                <w:rFonts w:cs="Times New Roman" w:ascii="Times New Roman" w:hAnsi="Times New Roman"/>
                <w:vanish w:val="false"/>
              </w:rPr>
              <w:t>3. Susitikimai su tiekėjais ir objekto apžiūra</w:t>
            </w:r>
            <w:r>
              <w:rPr>
                <w:webHidden/>
              </w:rPr>
              <w:fldChar w:fldCharType="begin"/>
            </w:r>
            <w:r>
              <w:rPr>
                <w:webHidden/>
              </w:rPr>
              <w:instrText xml:space="preserve">PAGEREF _Toc196987775 \h</w:instrText>
            </w:r>
            <w:r>
              <w:rPr>
                <w:webHidden/>
              </w:rPr>
              <w:fldChar w:fldCharType="separate"/>
            </w:r>
            <w:r>
              <w:rPr>
                <w:rStyle w:val="IndexLink"/>
                <w:vanish w:val="false"/>
              </w:rPr>
              <w:tab/>
              <w:t>3</w:t>
            </w:r>
            <w:r>
              <w:rPr>
                <w:webHidden/>
              </w:rPr>
              <w:fldChar w:fldCharType="end"/>
            </w:r>
          </w:hyperlink>
        </w:p>
        <w:p>
          <w:pPr>
            <w:pStyle w:val="TOC1"/>
            <w:rPr>
              <w:kern w:val="2"/>
              <w:sz w:val="24"/>
              <w:szCs w:val="24"/>
              <w14:ligatures w14:val="standardContextual"/>
            </w:rPr>
          </w:pPr>
          <w:hyperlink w:anchor="_Toc196987776">
            <w:r>
              <w:rPr>
                <w:webHidden/>
                <w:rStyle w:val="IndexLink"/>
                <w:rFonts w:cs="Times New Roman" w:ascii="Times New Roman" w:hAnsi="Times New Roman"/>
                <w:vanish w:val="false"/>
              </w:rPr>
              <w:t>4. Tiekėjų pašalinimo pagrindai ir kvalifikacijos reikalavimai</w:t>
            </w:r>
            <w:r>
              <w:rPr>
                <w:webHidden/>
              </w:rPr>
              <w:fldChar w:fldCharType="begin"/>
            </w:r>
            <w:r>
              <w:rPr>
                <w:webHidden/>
              </w:rPr>
              <w:instrText xml:space="preserve">PAGEREF _Toc196987776 \h</w:instrText>
            </w:r>
            <w:r>
              <w:rPr>
                <w:webHidden/>
              </w:rPr>
              <w:fldChar w:fldCharType="separate"/>
            </w:r>
            <w:r>
              <w:rPr>
                <w:rStyle w:val="IndexLink"/>
                <w:vanish w:val="false"/>
              </w:rPr>
              <w:tab/>
              <w:t>3</w:t>
            </w:r>
            <w:r>
              <w:rPr>
                <w:webHidden/>
              </w:rPr>
              <w:fldChar w:fldCharType="end"/>
            </w:r>
          </w:hyperlink>
        </w:p>
        <w:p>
          <w:pPr>
            <w:pStyle w:val="TOC1"/>
            <w:rPr>
              <w:kern w:val="2"/>
              <w:sz w:val="24"/>
              <w:szCs w:val="24"/>
              <w14:ligatures w14:val="standardContextual"/>
            </w:rPr>
          </w:pPr>
          <w:hyperlink w:anchor="_Toc196987777">
            <w:r>
              <w:rPr>
                <w:webHidden/>
                <w:rStyle w:val="IndexLink"/>
                <w:rFonts w:cs="Times New Roman" w:ascii="Times New Roman" w:hAnsi="Times New Roman"/>
                <w:vanish w:val="false"/>
              </w:rPr>
              <w:t>5.Reikalavimai, susiję su nacionaliniu saugumu</w:t>
            </w:r>
            <w:r>
              <w:rPr>
                <w:webHidden/>
              </w:rPr>
              <w:fldChar w:fldCharType="begin"/>
            </w:r>
            <w:r>
              <w:rPr>
                <w:webHidden/>
              </w:rPr>
              <w:instrText xml:space="preserve">PAGEREF _Toc196987777 \h</w:instrText>
            </w:r>
            <w:r>
              <w:rPr>
                <w:webHidden/>
              </w:rPr>
              <w:fldChar w:fldCharType="separate"/>
            </w:r>
            <w:r>
              <w:rPr>
                <w:rStyle w:val="IndexLink"/>
                <w:vanish w:val="false"/>
              </w:rPr>
              <w:tab/>
              <w:t>3</w:t>
            </w:r>
            <w:r>
              <w:rPr>
                <w:webHidden/>
              </w:rPr>
              <w:fldChar w:fldCharType="end"/>
            </w:r>
          </w:hyperlink>
        </w:p>
        <w:p>
          <w:pPr>
            <w:pStyle w:val="TOC1"/>
            <w:rPr>
              <w:kern w:val="2"/>
              <w:sz w:val="24"/>
              <w:szCs w:val="24"/>
              <w14:ligatures w14:val="standardContextual"/>
            </w:rPr>
          </w:pPr>
          <w:hyperlink w:anchor="_Toc196987778">
            <w:r>
              <w:rPr>
                <w:webHidden/>
                <w:rStyle w:val="IndexLink"/>
                <w:rFonts w:cs="Times New Roman" w:ascii="Times New Roman" w:hAnsi="Times New Roman"/>
                <w:vanish w:val="false"/>
              </w:rPr>
              <w:t>6. Specialieji reikalavimai pasiūlymų rengimui ir pateikimui</w:t>
            </w:r>
            <w:r>
              <w:rPr>
                <w:webHidden/>
              </w:rPr>
              <w:fldChar w:fldCharType="begin"/>
            </w:r>
            <w:r>
              <w:rPr>
                <w:webHidden/>
              </w:rPr>
              <w:instrText xml:space="preserve">PAGEREF _Toc196987778 \h</w:instrText>
            </w:r>
            <w:r>
              <w:rPr>
                <w:webHidden/>
              </w:rPr>
              <w:fldChar w:fldCharType="separate"/>
            </w:r>
            <w:r>
              <w:rPr>
                <w:rStyle w:val="IndexLink"/>
                <w:vanish w:val="false"/>
              </w:rPr>
              <w:tab/>
              <w:t>5</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79">
            <w:r>
              <w:rPr>
                <w:webHidden/>
                <w:rStyle w:val="IndexLink"/>
                <w:rFonts w:eastAsia="Calibri" w:cs="Times New Roman" w:ascii="Times New Roman" w:hAnsi="Times New Roman"/>
                <w:vanish w:val="false"/>
              </w:rPr>
              <w:t>7.</w:t>
            </w:r>
            <w:r>
              <w:rPr>
                <w:rStyle w:val="IndexLink"/>
                <w:kern w:val="2"/>
                <w:sz w:val="24"/>
                <w:szCs w:val="24"/>
                <w14:ligatures w14:val="standardContextual"/>
              </w:rPr>
              <w:tab/>
            </w:r>
            <w:r>
              <w:rPr>
                <w:rStyle w:val="IndexLink"/>
                <w:rFonts w:cs="Times New Roman" w:ascii="Times New Roman" w:hAnsi="Times New Roman"/>
              </w:rPr>
              <w:t>Pasiūlymo galiojimo užtikrinimas</w:t>
            </w:r>
            <w:r>
              <w:rPr>
                <w:webHidden/>
              </w:rPr>
              <w:fldChar w:fldCharType="begin"/>
            </w:r>
            <w:r>
              <w:rPr>
                <w:webHidden/>
              </w:rPr>
              <w:instrText xml:space="preserve">PAGEREF _Toc196987779 \h</w:instrText>
            </w:r>
            <w:r>
              <w:rPr>
                <w:webHidden/>
              </w:rPr>
              <w:fldChar w:fldCharType="separate"/>
            </w:r>
            <w:r>
              <w:rPr>
                <w:rStyle w:val="IndexLink"/>
                <w:vanish w:val="false"/>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80">
            <w:r>
              <w:rPr>
                <w:webHidden/>
                <w:rStyle w:val="IndexLink"/>
                <w:rFonts w:eastAsia="Calibri" w:cs="Times New Roman" w:ascii="Times New Roman" w:hAnsi="Times New Roman"/>
                <w:vanish w:val="false"/>
              </w:rPr>
              <w:t>8.</w:t>
            </w:r>
            <w:r>
              <w:rPr>
                <w:rStyle w:val="IndexLink"/>
                <w:kern w:val="2"/>
                <w:sz w:val="24"/>
                <w:szCs w:val="24"/>
                <w14:ligatures w14:val="standardContextual"/>
              </w:rPr>
              <w:tab/>
            </w:r>
            <w:r>
              <w:rPr>
                <w:rStyle w:val="IndexLink"/>
                <w:rFonts w:cs="Times New Roman" w:ascii="Times New Roman" w:hAnsi="Times New Roman"/>
              </w:rPr>
              <w:t>Elektroninis aukcionas</w:t>
            </w:r>
            <w:r>
              <w:rPr>
                <w:webHidden/>
              </w:rPr>
              <w:fldChar w:fldCharType="begin"/>
            </w:r>
            <w:r>
              <w:rPr>
                <w:webHidden/>
              </w:rPr>
              <w:instrText xml:space="preserve">PAGEREF _Toc196987780 \h</w:instrText>
            </w:r>
            <w:r>
              <w:rPr>
                <w:webHidden/>
              </w:rPr>
              <w:fldChar w:fldCharType="separate"/>
            </w:r>
            <w:r>
              <w:rPr>
                <w:rStyle w:val="IndexLink"/>
                <w:vanish w:val="false"/>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81">
            <w:r>
              <w:rPr>
                <w:webHidden/>
                <w:rStyle w:val="IndexLink"/>
                <w:rFonts w:eastAsia="Calibri" w:cs="Times New Roman" w:ascii="Times New Roman" w:hAnsi="Times New Roman"/>
                <w:vanish w:val="false"/>
              </w:rPr>
              <w:t>9.</w:t>
            </w:r>
            <w:r>
              <w:rPr>
                <w:rStyle w:val="IndexLink"/>
                <w:kern w:val="2"/>
                <w:sz w:val="24"/>
                <w:szCs w:val="24"/>
                <w14:ligatures w14:val="standardContextual"/>
              </w:rPr>
              <w:tab/>
            </w:r>
            <w:r>
              <w:rPr>
                <w:rStyle w:val="IndexLink"/>
                <w:rFonts w:cs="Times New Roman" w:ascii="Times New Roman" w:hAnsi="Times New Roman"/>
              </w:rPr>
              <w:t>Pasiūlymų vertinimas</w:t>
            </w:r>
            <w:r>
              <w:rPr>
                <w:webHidden/>
              </w:rPr>
              <w:fldChar w:fldCharType="begin"/>
            </w:r>
            <w:r>
              <w:rPr>
                <w:webHidden/>
              </w:rPr>
              <w:instrText xml:space="preserve">PAGEREF _Toc196987781 \h</w:instrText>
            </w:r>
            <w:r>
              <w:rPr>
                <w:webHidden/>
              </w:rPr>
              <w:fldChar w:fldCharType="separate"/>
            </w:r>
            <w:r>
              <w:rPr>
                <w:rStyle w:val="IndexLink"/>
                <w:vanish w:val="false"/>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82">
            <w:r>
              <w:rPr>
                <w:webHidden/>
                <w:rStyle w:val="IndexLink"/>
                <w:rFonts w:cs="Times New Roman" w:ascii="Times New Roman" w:hAnsi="Times New Roman"/>
                <w:vanish w:val="false"/>
              </w:rPr>
              <w:t>10.</w:t>
            </w:r>
            <w:r>
              <w:rPr>
                <w:rStyle w:val="IndexLink"/>
                <w:kern w:val="2"/>
                <w:sz w:val="24"/>
                <w:szCs w:val="24"/>
                <w14:ligatures w14:val="standardContextual"/>
              </w:rPr>
              <w:tab/>
            </w:r>
            <w:r>
              <w:rPr>
                <w:rStyle w:val="IndexLink"/>
                <w:rFonts w:cs="Times New Roman" w:ascii="Times New Roman" w:hAnsi="Times New Roman"/>
              </w:rPr>
              <w:t>Sutarties sudarymas</w:t>
            </w:r>
            <w:r>
              <w:rPr>
                <w:webHidden/>
              </w:rPr>
              <w:fldChar w:fldCharType="begin"/>
            </w:r>
            <w:r>
              <w:rPr>
                <w:webHidden/>
              </w:rPr>
              <w:instrText xml:space="preserve">PAGEREF _Toc196987782 \h</w:instrText>
            </w:r>
            <w:r>
              <w:rPr>
                <w:webHidden/>
              </w:rPr>
              <w:fldChar w:fldCharType="separate"/>
            </w:r>
            <w:r>
              <w:rPr>
                <w:rStyle w:val="IndexLink"/>
                <w:vanish w:val="false"/>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83">
            <w:r>
              <w:rPr>
                <w:webHidden/>
                <w:rStyle w:val="IndexLink"/>
                <w:rFonts w:cs="Times New Roman" w:ascii="Times New Roman" w:hAnsi="Times New Roman"/>
                <w:vanish w:val="false"/>
              </w:rPr>
              <w:t>10.</w:t>
            </w:r>
            <w:r>
              <w:rPr>
                <w:rStyle w:val="IndexLink"/>
                <w:kern w:val="2"/>
                <w:sz w:val="24"/>
                <w:szCs w:val="24"/>
                <w14:ligatures w14:val="standardContextual"/>
              </w:rPr>
              <w:tab/>
            </w:r>
            <w:r>
              <w:rPr>
                <w:rStyle w:val="IndexLink"/>
                <w:rFonts w:cs="Times New Roman" w:ascii="Times New Roman" w:hAnsi="Times New Roman"/>
              </w:rPr>
              <w:t>Kitos sąlygos</w:t>
            </w:r>
            <w:r>
              <w:rPr>
                <w:webHidden/>
              </w:rPr>
              <w:fldChar w:fldCharType="begin"/>
            </w:r>
            <w:r>
              <w:rPr>
                <w:webHidden/>
              </w:rPr>
              <w:instrText xml:space="preserve">PAGEREF _Toc196987783 \h</w:instrText>
            </w:r>
            <w:r>
              <w:rPr>
                <w:webHidden/>
              </w:rPr>
              <w:fldChar w:fldCharType="separate"/>
            </w:r>
            <w:r>
              <w:rPr>
                <w:rStyle w:val="IndexLink"/>
                <w:vanish w:val="false"/>
              </w:rPr>
              <w:tab/>
              <w:t>6</w:t>
            </w:r>
            <w:r>
              <w:rPr>
                <w:webHidden/>
              </w:rPr>
              <w:fldChar w:fldCharType="end"/>
            </w:r>
          </w:hyperlink>
        </w:p>
        <w:p>
          <w:pPr>
            <w:pStyle w:val="TOC1"/>
            <w:rPr>
              <w:kern w:val="2"/>
              <w:sz w:val="24"/>
              <w:szCs w:val="24"/>
              <w14:ligatures w14:val="standardContextual"/>
            </w:rPr>
          </w:pPr>
          <w:hyperlink w:anchor="_Toc196987784">
            <w:r>
              <w:rPr>
                <w:webHidden/>
                <w:rStyle w:val="IndexLink"/>
                <w:rFonts w:cs="Times New Roman" w:ascii="Times New Roman" w:hAnsi="Times New Roman"/>
                <w:vanish w:val="false"/>
              </w:rPr>
              <w:t>Pirkimo sąlygų 1 priedas „Terminai“</w:t>
            </w:r>
            <w:r>
              <w:rPr>
                <w:webHidden/>
              </w:rPr>
              <w:fldChar w:fldCharType="begin"/>
            </w:r>
            <w:r>
              <w:rPr>
                <w:webHidden/>
              </w:rPr>
              <w:instrText xml:space="preserve">PAGEREF _Toc196987784 \h</w:instrText>
            </w:r>
            <w:r>
              <w:rPr>
                <w:webHidden/>
              </w:rPr>
              <w:fldChar w:fldCharType="separate"/>
            </w:r>
            <w:r>
              <w:rPr>
                <w:rStyle w:val="IndexLink"/>
                <w:vanish w:val="false"/>
              </w:rPr>
              <w:tab/>
              <w:t>22</w:t>
            </w:r>
            <w:r>
              <w:rPr>
                <w:webHidden/>
              </w:rPr>
              <w:fldChar w:fldCharType="end"/>
            </w:r>
          </w:hyperlink>
        </w:p>
        <w:p>
          <w:pPr>
            <w:pStyle w:val="TOC2"/>
            <w:rPr>
              <w:kern w:val="2"/>
              <w:sz w:val="24"/>
              <w:szCs w:val="24"/>
              <w14:ligatures w14:val="standardContextual"/>
            </w:rPr>
          </w:pPr>
          <w:hyperlink w:anchor="_Toc196987785">
            <w:r>
              <w:rPr>
                <w:webHidden/>
                <w:rStyle w:val="IndexLink"/>
                <w:rFonts w:eastAsia="Calibri" w:cs="Times New Roman" w:ascii="Times New Roman" w:hAnsi="Times New Roman"/>
                <w:vanish w:val="false"/>
              </w:rPr>
              <w:t>Pirkimo sąlygų 2 priedas „Techninė specifikacija“</w:t>
            </w:r>
            <w:r>
              <w:rPr>
                <w:webHidden/>
              </w:rPr>
              <w:fldChar w:fldCharType="begin"/>
            </w:r>
            <w:r>
              <w:rPr>
                <w:webHidden/>
              </w:rPr>
              <w:instrText xml:space="preserve">PAGEREF _Toc196987785 \h</w:instrText>
            </w:r>
            <w:r>
              <w:rPr>
                <w:webHidden/>
              </w:rPr>
              <w:fldChar w:fldCharType="separate"/>
            </w:r>
            <w:r>
              <w:rPr>
                <w:rStyle w:val="IndexLink"/>
                <w:vanish w:val="false"/>
              </w:rPr>
              <w:tab/>
              <w:t>26</w:t>
            </w:r>
            <w:r>
              <w:rPr>
                <w:webHidden/>
              </w:rPr>
              <w:fldChar w:fldCharType="end"/>
            </w:r>
          </w:hyperlink>
        </w:p>
        <w:p>
          <w:pPr>
            <w:pStyle w:val="TOC2"/>
            <w:rPr>
              <w:kern w:val="2"/>
              <w:sz w:val="24"/>
              <w:szCs w:val="24"/>
              <w14:ligatures w14:val="standardContextual"/>
            </w:rPr>
          </w:pPr>
          <w:hyperlink w:anchor="_Toc196987786">
            <w:r>
              <w:rPr>
                <w:webHidden/>
                <w:rStyle w:val="IndexLink"/>
                <w:rFonts w:eastAsia="Calibri" w:cs="Times New Roman" w:ascii="Times New Roman" w:hAnsi="Times New Roman"/>
                <w:vanish w:val="false"/>
              </w:rPr>
              <w:t>Pirkimo sąlygų 3 priedas „Tiekėjų pašalinimo pagrindai“</w:t>
            </w:r>
            <w:r>
              <w:rPr>
                <w:webHidden/>
              </w:rPr>
              <w:fldChar w:fldCharType="begin"/>
            </w:r>
            <w:r>
              <w:rPr>
                <w:webHidden/>
              </w:rPr>
              <w:instrText xml:space="preserve">PAGEREF _Toc196987786 \h</w:instrText>
            </w:r>
            <w:r>
              <w:rPr>
                <w:webHidden/>
              </w:rPr>
              <w:fldChar w:fldCharType="separate"/>
            </w:r>
            <w:r>
              <w:rPr>
                <w:rStyle w:val="IndexLink"/>
                <w:vanish w:val="false"/>
              </w:rPr>
              <w:tab/>
              <w:t>26</w:t>
            </w:r>
            <w:r>
              <w:rPr>
                <w:webHidden/>
              </w:rPr>
              <w:fldChar w:fldCharType="end"/>
            </w:r>
          </w:hyperlink>
        </w:p>
        <w:p>
          <w:pPr>
            <w:pStyle w:val="TOC2"/>
            <w:rPr>
              <w:kern w:val="2"/>
              <w:sz w:val="24"/>
              <w:szCs w:val="24"/>
              <w14:ligatures w14:val="standardContextual"/>
            </w:rPr>
          </w:pPr>
          <w:hyperlink w:anchor="_Toc196987787">
            <w:r>
              <w:rPr>
                <w:webHidden/>
                <w:rStyle w:val="IndexLink"/>
                <w:rFonts w:eastAsia="Calibri" w:cs="Times New Roman" w:ascii="Times New Roman" w:hAnsi="Times New Roman"/>
                <w:vanish w:val="false"/>
              </w:rPr>
              <w:t>Pirkimo sąlygų 4 priedas „Tiekėjų kvalifikacijos reikalavimai ir reikalaujami kokybės bei aplinkos apsaugos vadybos sistemų standartai“</w:t>
            </w:r>
            <w:r>
              <w:rPr>
                <w:webHidden/>
              </w:rPr>
              <w:fldChar w:fldCharType="begin"/>
            </w:r>
            <w:r>
              <w:rPr>
                <w:webHidden/>
              </w:rPr>
              <w:instrText xml:space="preserve">PAGEREF _Toc196987787 \h</w:instrText>
            </w:r>
            <w:r>
              <w:rPr>
                <w:webHidden/>
              </w:rPr>
              <w:fldChar w:fldCharType="separate"/>
            </w:r>
            <w:r>
              <w:rPr>
                <w:rStyle w:val="IndexLink"/>
                <w:vanish w:val="false"/>
              </w:rPr>
              <w:tab/>
              <w:t>37</w:t>
            </w:r>
            <w:r>
              <w:rPr>
                <w:webHidden/>
              </w:rPr>
              <w:fldChar w:fldCharType="end"/>
            </w:r>
          </w:hyperlink>
        </w:p>
        <w:p>
          <w:pPr>
            <w:pStyle w:val="TOC2"/>
            <w:rPr>
              <w:kern w:val="2"/>
              <w:sz w:val="24"/>
              <w:szCs w:val="24"/>
              <w14:ligatures w14:val="standardContextual"/>
            </w:rPr>
          </w:pPr>
          <w:hyperlink w:anchor="_Toc196987788">
            <w:r>
              <w:rPr>
                <w:webHidden/>
              </w:rPr>
              <w:fldChar w:fldCharType="begin"/>
            </w:r>
            <w:r>
              <w:rPr>
                <w:webHidden/>
              </w:rPr>
              <w:instrText xml:space="preserve">PAGEREF _Toc196987788 \h</w:instrText>
            </w:r>
            <w:r>
              <w:rPr>
                <w:webHidden/>
              </w:rPr>
              <w:fldChar w:fldCharType="separate"/>
            </w:r>
            <w:r>
              <w:rPr>
                <w:webHidden/>
                <w:rStyle w:val="IndexLink"/>
                <w:rFonts w:eastAsia="Calibri" w:cs="Times New Roman" w:ascii="Times New Roman" w:hAnsi="Times New Roman"/>
                <w:vanish w:val="false"/>
              </w:rPr>
              <w:t>Pirkimo sąlygų  5 priedas „Europos bendrasis viešųjų pirkimų“……...…………………………………………….47</w:t>
            </w:r>
            <w:r>
              <w:rPr>
                <w:webHidden/>
              </w:rPr>
              <w:fldChar w:fldCharType="end"/>
            </w:r>
          </w:hyperlink>
        </w:p>
        <w:p>
          <w:pPr>
            <w:pStyle w:val="TOC2"/>
            <w:rPr>
              <w:kern w:val="2"/>
              <w:sz w:val="24"/>
              <w:szCs w:val="24"/>
              <w14:ligatures w14:val="standardContextual"/>
            </w:rPr>
          </w:pPr>
          <w:hyperlink w:anchor="_Toc196987788">
            <w:r>
              <w:rPr>
                <w:webHidden/>
                <w:rStyle w:val="IndexLink"/>
                <w:rFonts w:eastAsia="Calibri" w:cs="Times New Roman" w:ascii="Times New Roman" w:hAnsi="Times New Roman"/>
                <w:vanish w:val="false"/>
              </w:rPr>
              <w:t>Pirkimo sąlygų 6 priedas „Pasiūlymo forma“</w:t>
            </w:r>
            <w:r>
              <w:rPr>
                <w:webHidden/>
              </w:rPr>
              <w:fldChar w:fldCharType="begin"/>
            </w:r>
            <w:r>
              <w:rPr>
                <w:webHidden/>
              </w:rPr>
              <w:instrText xml:space="preserve">PAGEREF _Toc196987788 \h</w:instrText>
            </w:r>
            <w:r>
              <w:rPr>
                <w:webHidden/>
              </w:rPr>
              <w:fldChar w:fldCharType="separate"/>
            </w:r>
            <w:r>
              <w:rPr>
                <w:rStyle w:val="IndexLink"/>
                <w:vanish w:val="false"/>
              </w:rPr>
              <w:tab/>
              <w:t>48</w:t>
            </w:r>
            <w:r>
              <w:rPr>
                <w:webHidden/>
              </w:rPr>
              <w:fldChar w:fldCharType="end"/>
            </w:r>
          </w:hyperlink>
        </w:p>
        <w:p>
          <w:pPr>
            <w:pStyle w:val="TOC2"/>
            <w:rPr>
              <w:kern w:val="2"/>
              <w:sz w:val="24"/>
              <w:szCs w:val="24"/>
              <w14:ligatures w14:val="standardContextual"/>
            </w:rPr>
          </w:pPr>
          <w:hyperlink w:anchor="_Toc196987789">
            <w:r>
              <w:rPr>
                <w:webHidden/>
                <w:rStyle w:val="IndexLink"/>
                <w:rFonts w:eastAsia="Calibri" w:cs="Times New Roman" w:ascii="Times New Roman" w:hAnsi="Times New Roman"/>
                <w:vanish w:val="false"/>
              </w:rPr>
              <w:t>Pirkimo sąlygų 7 priedas „Pasiūlymų vertinimo kriterijai ir sąlygos“</w:t>
            </w:r>
            <w:r>
              <w:rPr>
                <w:webHidden/>
              </w:rPr>
              <w:fldChar w:fldCharType="begin"/>
            </w:r>
            <w:r>
              <w:rPr>
                <w:webHidden/>
              </w:rPr>
              <w:instrText xml:space="preserve">PAGEREF _Toc196987789 \h</w:instrText>
            </w:r>
            <w:r>
              <w:rPr>
                <w:webHidden/>
              </w:rPr>
              <w:fldChar w:fldCharType="separate"/>
            </w:r>
            <w:r>
              <w:rPr>
                <w:rStyle w:val="IndexLink"/>
                <w:vanish w:val="false"/>
              </w:rPr>
              <w:tab/>
              <w:t>49</w:t>
            </w:r>
            <w:r>
              <w:rPr>
                <w:webHidden/>
              </w:rPr>
              <w:fldChar w:fldCharType="end"/>
            </w:r>
          </w:hyperlink>
        </w:p>
        <w:p>
          <w:pPr>
            <w:pStyle w:val="TOC2"/>
            <w:rPr>
              <w:kern w:val="2"/>
              <w:sz w:val="24"/>
              <w:szCs w:val="24"/>
              <w14:ligatures w14:val="standardContextual"/>
            </w:rPr>
          </w:pPr>
          <w:hyperlink w:anchor="_Toc196987792">
            <w:r>
              <w:rPr>
                <w:webHidden/>
                <w:rStyle w:val="IndexLink"/>
                <w:rFonts w:cs="Times New Roman" w:ascii="Times New Roman" w:hAnsi="Times New Roman"/>
                <w:vanish w:val="false"/>
                <w:lang w:val="en-US"/>
              </w:rPr>
              <w:t>Pirkimo sąlygų 8 priedas „Sutarties projektas“</w:t>
            </w:r>
            <w:r>
              <w:rPr>
                <w:webHidden/>
              </w:rPr>
              <w:fldChar w:fldCharType="begin"/>
            </w:r>
            <w:r>
              <w:rPr>
                <w:webHidden/>
              </w:rPr>
              <w:instrText xml:space="preserve">PAGEREF _Toc196987792 \h</w:instrText>
            </w:r>
            <w:r>
              <w:rPr>
                <w:webHidden/>
              </w:rPr>
              <w:fldChar w:fldCharType="separate"/>
            </w:r>
            <w:r>
              <w:rPr>
                <w:rStyle w:val="IndexLink"/>
                <w:vanish w:val="false"/>
                <w:lang w:val="en-US"/>
              </w:rPr>
              <w:tab/>
              <w:t>54</w:t>
            </w:r>
            <w:r>
              <w:rPr>
                <w:webHidden/>
              </w:rPr>
              <w:fldChar w:fldCharType="end"/>
            </w:r>
          </w:hyperlink>
        </w:p>
        <w:p>
          <w:pPr>
            <w:pStyle w:val="TOC2"/>
            <w:rPr>
              <w:kern w:val="2"/>
              <w:sz w:val="24"/>
              <w:szCs w:val="24"/>
              <w14:ligatures w14:val="standardContextual"/>
            </w:rPr>
          </w:pPr>
          <w:r>
            <w:rPr>
              <w:kern w:val="2"/>
              <w:sz w:val="24"/>
              <w:szCs w:val="24"/>
              <w14:ligatures w14:val="standardContextual"/>
            </w:rPr>
          </w:r>
          <w:r>
            <w:rPr>
              <w:sz w:val="24"/>
              <w:kern w:val="2"/>
              <w:szCs w:val="24"/>
            </w:rPr>
            <w:fldChar w:fldCharType="end"/>
          </w:r>
        </w:p>
      </w:sdtContent>
    </w:sdt>
    <w:p>
      <w:pPr>
        <w:pStyle w:val="Heading1"/>
        <w:numPr>
          <w:ilvl w:val="0"/>
          <w:numId w:val="1"/>
        </w:numPr>
        <w:spacing w:lineRule="atLeast" w:line="20" w:before="0" w:after="0"/>
        <w:ind w:hanging="567" w:left="567"/>
        <w:contextualSpacing/>
        <w:rPr>
          <w:rFonts w:ascii="Times New Roman" w:hAnsi="Times New Roman" w:cs="Times New Roman"/>
          <w:sz w:val="32"/>
          <w:szCs w:val="32"/>
        </w:rPr>
      </w:pPr>
      <w:r>
        <w:br w:type="page"/>
      </w:r>
      <w:bookmarkStart w:id="1" w:name="_Toc196987773"/>
      <w:bookmarkStart w:id="2" w:name="_Toc147739116"/>
      <w:bookmarkStart w:id="3" w:name="_Toc335201954"/>
      <w:bookmarkEnd w:id="2"/>
      <w:bookmarkEnd w:id="3"/>
      <w:r>
        <w:rPr>
          <w:rFonts w:cs="Times New Roman" w:ascii="Times New Roman" w:hAnsi="Times New Roman"/>
          <w:sz w:val="32"/>
          <w:szCs w:val="32"/>
        </w:rPr>
        <w:t>Bendra informacija</w:t>
      </w:r>
      <w:bookmarkEnd w:id="1"/>
    </w:p>
    <w:p>
      <w:pPr>
        <w:pStyle w:val="ListParagraph"/>
        <w:numPr>
          <w:ilvl w:val="1"/>
          <w:numId w:val="1"/>
        </w:numPr>
        <w:spacing w:lineRule="auto" w:line="24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Perkančioji organizacija – </w:t>
      </w:r>
      <w:r>
        <w:rPr>
          <w:rStyle w:val="Hyperlink"/>
          <w:rFonts w:eastAsia="Calibri" w:cs="Times New Roman" w:ascii="Times New Roman" w:hAnsi="Times New Roman" w:eastAsiaTheme="minorHAnsi"/>
          <w:sz w:val="24"/>
          <w:szCs w:val="24"/>
          <w:lang w:val="en-US" w:eastAsia="en-US"/>
        </w:rPr>
        <w:t>Higienos institutas, juridinio asmens kodas 111958286, adresas Studentų g. 45A, Vilnius. Perkančioji organizacija nėra PVM mokėtoja</w:t>
      </w:r>
      <w:r>
        <w:rPr>
          <w:rStyle w:val="Hyperlink"/>
          <w:rFonts w:eastAsia="Calibri" w:cs="Times New Roman" w:ascii="Times New Roman" w:hAnsi="Times New Roman"/>
          <w:sz w:val="24"/>
          <w:szCs w:val="24"/>
          <w:lang w:val="en-US"/>
        </w:rPr>
        <w:t>.</w:t>
      </w:r>
    </w:p>
    <w:p>
      <w:pPr>
        <w:pStyle w:val="ListParagraph"/>
        <w:spacing w:lineRule="auto" w:line="24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color w:themeColor="text1" w:val="000000"/>
          <w:sz w:val="24"/>
          <w:szCs w:val="24"/>
        </w:rPr>
        <w:t xml:space="preserve">1.2. Pirkimas neatliekamas naudojantis centralizuotų pirkimų katalogu, nes </w:t>
      </w:r>
      <w:r>
        <w:rPr>
          <w:rFonts w:cs="Times New Roman" w:ascii="Times New Roman" w:hAnsi="Times New Roman"/>
          <w:sz w:val="24"/>
          <w:szCs w:val="24"/>
        </w:rPr>
        <w:t>kataloge nėra Perkančiosios poreikius atitinkančių paslaugų.</w:t>
      </w:r>
    </w:p>
    <w:p>
      <w:pPr>
        <w:pStyle w:val="Normal"/>
        <w:spacing w:lineRule="auto" w:line="240" w:before="0" w:after="0"/>
        <w:ind w:firstLine="567"/>
        <w:jc w:val="both"/>
        <w:rPr>
          <w:rFonts w:ascii="Times New Roman" w:hAnsi="Times New Roman" w:cs="Times New Roman"/>
          <w:color w:val="FF0000"/>
          <w:sz w:val="24"/>
          <w:szCs w:val="24"/>
        </w:rPr>
      </w:pPr>
      <w:r>
        <w:rPr>
          <w:rFonts w:cs="Times New Roman" w:ascii="Times New Roman" w:hAnsi="Times New Roman"/>
          <w:sz w:val="24"/>
          <w:szCs w:val="24"/>
        </w:rPr>
        <w:t xml:space="preserve">1.3.  </w:t>
      </w:r>
      <w:r>
        <w:rPr>
          <w:rFonts w:eastAsia="Times New Roman" w:cs="Times New Roman" w:ascii="Times New Roman" w:hAnsi="Times New Roman"/>
          <w:sz w:val="24"/>
          <w:szCs w:val="24"/>
        </w:rPr>
        <w:t>Perkančioji organizacija nerezervuoja teisės dalyvauti pirkime.</w:t>
      </w:r>
    </w:p>
    <w:p>
      <w:pPr>
        <w:pStyle w:val="ListParagraph"/>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1.4. Stebėtojai dalyvauti Komisijos posėdžiuose nėra kviečiami.</w:t>
      </w:r>
    </w:p>
    <w:p>
      <w:pPr>
        <w:pStyle w:val="Normal"/>
        <w:tabs>
          <w:tab w:val="clear" w:pos="1296"/>
          <w:tab w:val="left" w:pos="567" w:leader="none"/>
          <w:tab w:val="left" w:pos="993" w:leader="none"/>
          <w:tab w:val="left" w:pos="1276"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1.5. Atliekamas žaliasis pirkimas. Pirkimas vykdomas vadovaujantis Lietuvos Respublikos aplinkos ministro 2011 m. birželio 28 d. įsakymo Nr. D1-508 „</w:t>
      </w:r>
      <w:hyperlink r:id="rId2">
        <w:r>
          <w:rPr>
            <w:rStyle w:val="Hyperlink"/>
            <w:rFonts w:cs="Times New Roman" w:ascii="Times New Roman" w:hAnsi="Times New Roman"/>
            <w:color w:val="0070C0"/>
            <w:sz w:val="24"/>
            <w:szCs w:val="24"/>
            <w:u w:val="single"/>
          </w:rPr>
          <w:t>Dėl Aplinkos apsaugos kriterijų taikymo, vykdant žaliuosius pirkimus, tvarkos aprašo patvirtinimo</w:t>
        </w:r>
      </w:hyperlink>
      <w:r>
        <w:rPr>
          <w:rFonts w:cs="Times New Roman" w:ascii="Times New Roman" w:hAnsi="Times New Roman"/>
          <w:sz w:val="24"/>
          <w:szCs w:val="24"/>
        </w:rPr>
        <w:t xml:space="preserve">“  (toliau – Tvarkos aprašas) </w:t>
      </w:r>
      <w:r>
        <w:rPr>
          <w:rFonts w:eastAsia="" w:cs="Times New Roman" w:ascii="Times New Roman" w:hAnsi="Times New Roman" w:eastAsiaTheme="minorEastAsia"/>
          <w:sz w:val="24"/>
          <w:szCs w:val="24"/>
          <w:shd w:fill="FFFFFF" w:val="clear"/>
        </w:rPr>
        <w:t xml:space="preserve">4.4.4.5.  </w:t>
      </w:r>
      <w:r>
        <w:rPr>
          <w:rFonts w:cs="Times New Roman" w:ascii="Times New Roman" w:hAnsi="Times New Roman"/>
          <w:sz w:val="24"/>
          <w:szCs w:val="24"/>
        </w:rPr>
        <w:t>papunkčiu ir 6 punktu.</w:t>
      </w:r>
    </w:p>
    <w:p>
      <w:pPr>
        <w:pStyle w:val="ListParagraph"/>
        <w:widowControl/>
        <w:numPr>
          <w:ilvl w:val="1"/>
          <w:numId w:val="19"/>
        </w:numPr>
        <w:tabs>
          <w:tab w:val="clear" w:pos="1296"/>
          <w:tab w:val="left" w:pos="993" w:leader="none"/>
        </w:tabs>
        <w:bidi w:val="0"/>
        <w:spacing w:lineRule="auto" w:line="240" w:before="0" w:after="0"/>
        <w:ind w:hanging="89" w:left="720" w:right="0"/>
        <w:contextualSpacing/>
        <w:jc w:val="both"/>
        <w:rPr>
          <w:rFonts w:ascii="Times New Roman" w:hAnsi="Times New Roman" w:eastAsia="Arial" w:cs="Times New Roman"/>
          <w:sz w:val="24"/>
          <w:szCs w:val="24"/>
        </w:rPr>
      </w:pPr>
      <w:r>
        <w:rPr>
          <w:rFonts w:eastAsia="Arial" w:cs="Times New Roman" w:ascii="Times New Roman" w:hAnsi="Times New Roman"/>
          <w:sz w:val="24"/>
          <w:szCs w:val="24"/>
        </w:rPr>
        <w:t xml:space="preserve">Išankstinis skelbimas apie pirkimą nebuvo paskelbtas. </w:t>
      </w:r>
    </w:p>
    <w:p>
      <w:pPr>
        <w:pStyle w:val="ListParagraph"/>
        <w:numPr>
          <w:ilvl w:val="1"/>
          <w:numId w:val="19"/>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lang w:eastAsia="en-US"/>
        </w:rPr>
        <w:t>Pirkime</w:t>
      </w:r>
      <w:r>
        <w:rPr>
          <w:rFonts w:cs="Times New Roman" w:ascii="Times New Roman" w:hAnsi="Times New Roman"/>
          <w:sz w:val="24"/>
          <w:szCs w:val="24"/>
        </w:rPr>
        <w:t xml:space="preserve"> perkančioji organizacija</w:t>
      </w:r>
      <w:r>
        <w:rPr>
          <w:rFonts w:cs="Times New Roman" w:ascii="Times New Roman" w:hAnsi="Times New Roman"/>
          <w:sz w:val="24"/>
          <w:szCs w:val="24"/>
          <w:lang w:eastAsia="en-US"/>
        </w:rPr>
        <w:t xml:space="preserve"> nenumato skelbti pranešimo dėl savanoriško </w:t>
      </w:r>
      <w:r>
        <w:rPr>
          <w:rFonts w:cs="Times New Roman" w:ascii="Times New Roman" w:hAnsi="Times New Roman"/>
          <w:i/>
          <w:iCs/>
          <w:sz w:val="24"/>
          <w:szCs w:val="24"/>
          <w:lang w:eastAsia="en-US"/>
        </w:rPr>
        <w:t>ex ante</w:t>
      </w:r>
      <w:r>
        <w:rPr>
          <w:rFonts w:cs="Times New Roman" w:ascii="Times New Roman" w:hAnsi="Times New Roman"/>
          <w:sz w:val="24"/>
          <w:szCs w:val="24"/>
          <w:lang w:eastAsia="en-US"/>
        </w:rPr>
        <w:t xml:space="preserve"> skaidrumo.</w:t>
      </w:r>
    </w:p>
    <w:p>
      <w:pPr>
        <w:pStyle w:val="ListParagraph"/>
        <w:numPr>
          <w:ilvl w:val="1"/>
          <w:numId w:val="19"/>
        </w:numPr>
        <w:tabs>
          <w:tab w:val="clear" w:pos="1296"/>
          <w:tab w:val="left" w:pos="851" w:leader="none"/>
          <w:tab w:val="left" w:pos="993" w:leader="none"/>
        </w:tabs>
        <w:spacing w:lineRule="auto" w:line="240" w:before="0" w:after="0"/>
        <w:ind w:firstLine="630" w:left="0"/>
        <w:contextualSpacing/>
        <w:jc w:val="both"/>
        <w:rPr>
          <w:rFonts w:ascii="Times New Roman" w:hAnsi="Times New Roman" w:cs="Times New Roman"/>
          <w:color w:val="7030A0"/>
          <w:sz w:val="24"/>
          <w:szCs w:val="24"/>
        </w:rPr>
      </w:pPr>
      <w:r>
        <w:rPr>
          <w:rFonts w:cs="Times New Roman" w:ascii="Times New Roman" w:hAnsi="Times New Roman"/>
          <w:sz w:val="24"/>
          <w:szCs w:val="24"/>
        </w:rPr>
        <w:t xml:space="preserve">Pirkime neleidžiama pateikti alternatyvių pasiūlymų. </w:t>
      </w:r>
    </w:p>
    <w:p>
      <w:pPr>
        <w:pStyle w:val="ListParagraph"/>
        <w:widowControl/>
        <w:numPr>
          <w:ilvl w:val="1"/>
          <w:numId w:val="19"/>
        </w:numPr>
        <w:tabs>
          <w:tab w:val="clear" w:pos="1296"/>
          <w:tab w:val="left" w:pos="851" w:leader="none"/>
          <w:tab w:val="left" w:pos="993" w:leader="none"/>
          <w:tab w:val="left" w:pos="1530" w:leader="none"/>
        </w:tabs>
        <w:bidi w:val="0"/>
        <w:spacing w:lineRule="auto" w:line="240" w:before="0" w:after="0"/>
        <w:ind w:hanging="89" w:left="720" w:right="0"/>
        <w:contextualSpacing/>
        <w:jc w:val="both"/>
        <w:rPr>
          <w:rFonts w:ascii="Times New Roman" w:hAnsi="Times New Roman" w:cs="Times New Roman"/>
          <w:sz w:val="24"/>
          <w:szCs w:val="24"/>
        </w:rPr>
      </w:pPr>
      <w:r>
        <w:rPr>
          <w:rFonts w:cs="Times New Roman" w:ascii="Times New Roman" w:hAnsi="Times New Roman"/>
          <w:color w:val="7030A0"/>
          <w:sz w:val="24"/>
          <w:szCs w:val="24"/>
        </w:rPr>
        <w:t xml:space="preserve"> </w:t>
      </w:r>
      <w:r>
        <w:rPr>
          <w:rFonts w:eastAsia="Arial" w:cs="Times New Roman" w:ascii="Times New Roman" w:hAnsi="Times New Roman"/>
          <w:color w:val="333333"/>
          <w:sz w:val="24"/>
          <w:szCs w:val="24"/>
        </w:rPr>
        <w:t>Bendrosios pirkimo sąlygos yra neatskiriama šių pirkimo sąlygų dalis.</w:t>
      </w:r>
    </w:p>
    <w:p>
      <w:pPr>
        <w:pStyle w:val="ListParagraph"/>
        <w:tabs>
          <w:tab w:val="clear" w:pos="1296"/>
          <w:tab w:val="left" w:pos="851" w:leader="none"/>
          <w:tab w:val="left" w:pos="993" w:leader="none"/>
        </w:tabs>
        <w:spacing w:lineRule="auto" w:line="240" w:before="0" w:after="0"/>
        <w:ind w:left="63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spacing w:lineRule="atLeast" w:line="20" w:before="0" w:after="0"/>
        <w:contextualSpacing/>
        <w:rPr>
          <w:rFonts w:ascii="Times New Roman" w:hAnsi="Times New Roman" w:cs="Times New Roman"/>
          <w:sz w:val="32"/>
          <w:szCs w:val="32"/>
        </w:rPr>
      </w:pPr>
      <w:bookmarkStart w:id="4" w:name="_Toc196987774"/>
      <w:bookmarkStart w:id="5" w:name="_Ref39426338"/>
      <w:bookmarkStart w:id="6" w:name="_Ref39426332"/>
      <w:bookmarkStart w:id="7" w:name="_Toc335201954_Copy_1"/>
      <w:bookmarkEnd w:id="7"/>
      <w:r>
        <w:rPr>
          <w:rFonts w:cs="Times New Roman" w:ascii="Times New Roman" w:hAnsi="Times New Roman"/>
          <w:sz w:val="32"/>
          <w:szCs w:val="32"/>
        </w:rPr>
        <w:t>2. Pirkimo objektas</w:t>
      </w:r>
      <w:bookmarkEnd w:id="4"/>
      <w:bookmarkEnd w:id="5"/>
      <w:bookmarkEnd w:id="6"/>
    </w:p>
    <w:p>
      <w:pPr>
        <w:pStyle w:val="NoSpacing"/>
        <w:numPr>
          <w:ilvl w:val="1"/>
          <w:numId w:val="3"/>
        </w:numPr>
        <w:spacing w:before="0" w:after="0"/>
        <w:ind w:firstLine="709" w:left="0"/>
        <w:contextualSpacing/>
        <w:jc w:val="both"/>
        <w:rPr>
          <w:rFonts w:ascii="Times New Roman" w:hAnsi="Times New Roman" w:cs="Times New Roman"/>
          <w:color w:val="FF0000"/>
          <w:sz w:val="24"/>
          <w:szCs w:val="24"/>
        </w:rPr>
      </w:pPr>
      <w:r>
        <w:rPr>
          <w:rFonts w:eastAsia="Calibri" w:cs="Times New Roman" w:ascii="Times New Roman" w:hAnsi="Times New Roman"/>
          <w:sz w:val="24"/>
          <w:szCs w:val="24"/>
        </w:rPr>
        <w:t xml:space="preserve">Perkančioji organizacija, įgyvendindama </w:t>
      </w:r>
      <w:r>
        <w:rPr>
          <w:rFonts w:cs="Times New Roman" w:ascii="Times New Roman" w:hAnsi="Times New Roman"/>
          <w:sz w:val="24"/>
          <w:szCs w:val="24"/>
        </w:rPr>
        <w:t xml:space="preserve">projektą </w:t>
      </w:r>
      <w:r>
        <w:rPr>
          <w:rFonts w:eastAsia="Times New Roman" w:cs="Times New Roman" w:ascii="Times New Roman" w:hAnsi="Times New Roman"/>
          <w:color w:themeColor="text1" w:val="000000"/>
          <w:sz w:val="24"/>
          <w:szCs w:val="24"/>
          <w:lang w:val="lt-LT"/>
        </w:rPr>
        <w:t>„Psichikos sveikatos stiprinimas, stigmatizavimo mažinimas, savižudybių prevencija Vidurio, Vakarų Lietuvos ir Sostinės regione“ Nr. 09-025-P-0001 veiklas.</w:t>
      </w:r>
      <w:r>
        <w:rPr>
          <w:rFonts w:cs="Times New Roman" w:ascii="Times New Roman" w:hAnsi="Times New Roman"/>
          <w:sz w:val="24"/>
          <w:szCs w:val="24"/>
        </w:rPr>
        <w:t xml:space="preserve"> </w:t>
      </w:r>
      <w:r>
        <w:rPr>
          <w:rFonts w:cs="Times New Roman" w:ascii="Times New Roman" w:hAnsi="Times New Roman"/>
          <w:color w:val="000000"/>
          <w:sz w:val="24"/>
          <w:szCs w:val="24"/>
        </w:rPr>
        <w:t>(toliau – projektas)</w:t>
      </w:r>
      <w:r>
        <w:rPr>
          <w:rFonts w:eastAsia="Calibri" w:cs="Times New Roman" w:ascii="Times New Roman" w:hAnsi="Times New Roman"/>
          <w:sz w:val="24"/>
          <w:szCs w:val="24"/>
        </w:rPr>
        <w:t xml:space="preserve">, numato įsigyti Tuesi.lt viešinimas: ženklo atributikos gamybą ir sklaidą. </w:t>
      </w:r>
      <w:r>
        <w:rPr>
          <w:rFonts w:cs="Times New Roman" w:ascii="Times New Roman" w:hAnsi="Times New Roman"/>
          <w:sz w:val="24"/>
          <w:szCs w:val="24"/>
        </w:rPr>
        <w:t>Reikalavimai pirkimo objektui nustatyti specialiųjų pirkimo sąlygų 2</w:t>
      </w:r>
      <w:r>
        <w:rPr>
          <w:rFonts w:cs="Times New Roman" w:ascii="Times New Roman" w:hAnsi="Times New Roman"/>
          <w:color w:val="00B050"/>
          <w:sz w:val="24"/>
          <w:szCs w:val="24"/>
        </w:rPr>
        <w:t xml:space="preserve"> </w:t>
      </w:r>
      <w:r>
        <w:rPr>
          <w:rFonts w:cs="Times New Roman" w:ascii="Times New Roman" w:hAnsi="Times New Roman"/>
          <w:sz w:val="24"/>
          <w:szCs w:val="24"/>
        </w:rPr>
        <w:t>priede.</w:t>
      </w:r>
    </w:p>
    <w:p>
      <w:pPr>
        <w:pStyle w:val="NoSpacing"/>
        <w:widowControl/>
        <w:numPr>
          <w:ilvl w:val="1"/>
          <w:numId w:val="20"/>
        </w:numPr>
        <w:tabs>
          <w:tab w:val="clear" w:pos="1296"/>
          <w:tab w:val="left" w:pos="720" w:leader="none"/>
        </w:tabs>
        <w:bidi w:val="0"/>
        <w:spacing w:lineRule="auto" w:line="240" w:before="0" w:after="0"/>
        <w:ind w:firstLine="629" w:left="0" w:righ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Pirkimo objektas neskaidomas į atskiras pirkimo objekto dalis</w:t>
      </w:r>
      <w:r>
        <w:rPr>
          <w:rFonts w:eastAsia="Times New Roman" w:cs="Arial" w:ascii="Times New Roman" w:hAnsi="Times New Roman"/>
          <w:bCs/>
          <w:color w:val="000000"/>
          <w:sz w:val="24"/>
          <w:szCs w:val="24"/>
          <w:lang w:val="lt-LT" w:eastAsia="lt-LT"/>
        </w:rPr>
        <w:t>.</w:t>
      </w:r>
    </w:p>
    <w:p>
      <w:pPr>
        <w:pStyle w:val="ListParagraph"/>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 xml:space="preserve">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p>
    <w:p>
      <w:pPr>
        <w:pStyle w:val="ListParagraph"/>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 xml:space="preserve">2.4. Jeigu apibūdinant pirkimo objektą techninėje specifikacijoje nurodytas standartas, </w:t>
      </w:r>
      <w:r>
        <w:rPr>
          <w:rFonts w:cs="Times New Roman"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imes New Roman" w:ascii="Times New Roman" w:hAnsi="Times New Roman"/>
          <w:sz w:val="24"/>
          <w:szCs w:val="24"/>
        </w:rPr>
        <w:t xml:space="preserve">turi būti laikoma, kad kiekviena tokia nuoroda yra pateikta su žodžiais „arba lygiavertis“. </w:t>
      </w:r>
    </w:p>
    <w:p>
      <w:pPr>
        <w:pStyle w:val="ListParagraph"/>
        <w:spacing w:lineRule="auto" w:line="240"/>
        <w:ind w:hanging="11" w:left="720"/>
        <w:rPr>
          <w:rFonts w:ascii="Times New Roman" w:hAnsi="Times New Roman" w:cs="Times New Roman"/>
          <w:sz w:val="24"/>
          <w:szCs w:val="24"/>
        </w:rPr>
      </w:pPr>
      <w:r>
        <w:rPr>
          <w:rFonts w:cs="Times New Roman" w:ascii="Times New Roman" w:hAnsi="Times New Roman"/>
          <w:sz w:val="24"/>
          <w:szCs w:val="24"/>
        </w:rPr>
      </w:r>
    </w:p>
    <w:p>
      <w:pPr>
        <w:pStyle w:val="Heading1"/>
        <w:spacing w:lineRule="atLeast" w:line="20" w:before="0" w:after="0"/>
        <w:contextualSpacing/>
        <w:rPr>
          <w:rFonts w:ascii="Times New Roman" w:hAnsi="Times New Roman" w:cs="Times New Roman"/>
          <w:sz w:val="32"/>
          <w:szCs w:val="32"/>
        </w:rPr>
      </w:pPr>
      <w:bookmarkStart w:id="8" w:name="_Toc196987775"/>
      <w:r>
        <w:rPr>
          <w:rFonts w:cs="Times New Roman" w:ascii="Times New Roman" w:hAnsi="Times New Roman"/>
          <w:sz w:val="32"/>
          <w:szCs w:val="32"/>
        </w:rPr>
        <w:t xml:space="preserve">3. </w:t>
      </w:r>
      <w:bookmarkStart w:id="9" w:name="_Ref39740354"/>
      <w:bookmarkStart w:id="10" w:name="_Ref39427927"/>
      <w:bookmarkStart w:id="11" w:name="_Ref39427921"/>
      <w:r>
        <w:rPr>
          <w:rFonts w:cs="Times New Roman" w:ascii="Times New Roman" w:hAnsi="Times New Roman"/>
          <w:sz w:val="32"/>
          <w:szCs w:val="32"/>
        </w:rPr>
        <w:t>Susitikimai su tiekėjais</w:t>
      </w:r>
      <w:bookmarkEnd w:id="10"/>
      <w:bookmarkEnd w:id="11"/>
      <w:r>
        <w:rPr>
          <w:rFonts w:cs="Times New Roman" w:ascii="Times New Roman" w:hAnsi="Times New Roman"/>
          <w:sz w:val="32"/>
          <w:szCs w:val="32"/>
        </w:rPr>
        <w:t xml:space="preserve"> ir objekto apžiūra</w:t>
      </w:r>
      <w:bookmarkEnd w:id="8"/>
      <w:bookmarkEnd w:id="9"/>
    </w:p>
    <w:p>
      <w:pPr>
        <w:pStyle w:val="ListParagraph"/>
        <w:spacing w:before="0" w:after="0"/>
        <w:ind w:firstLine="567" w:left="0"/>
        <w:contextualSpacing/>
        <w:jc w:val="both"/>
        <w:rPr>
          <w:rFonts w:ascii="Times New Roman" w:hAnsi="Times New Roman" w:cs="Times New Roman"/>
          <w:sz w:val="24"/>
          <w:szCs w:val="24"/>
        </w:rPr>
      </w:pPr>
      <w:r>
        <w:rPr>
          <w:rFonts w:cs="Times New Roman" w:ascii="Times New Roman" w:hAnsi="Times New Roman"/>
          <w:iCs/>
          <w:sz w:val="24"/>
          <w:szCs w:val="24"/>
        </w:rPr>
        <w:t>3.1.</w:t>
      </w:r>
      <w:r>
        <w:rPr>
          <w:rFonts w:cs="Times New Roman" w:ascii="Times New Roman" w:hAnsi="Times New Roman"/>
          <w:i/>
          <w:color w:val="FF0000"/>
          <w:sz w:val="24"/>
          <w:szCs w:val="24"/>
        </w:rPr>
        <w:t xml:space="preserve"> </w:t>
      </w:r>
      <w:r>
        <w:rPr>
          <w:rFonts w:cs="Times New Roman" w:ascii="Times New Roman" w:hAnsi="Times New Roman"/>
          <w:sz w:val="24"/>
          <w:szCs w:val="24"/>
        </w:rPr>
        <w:t>Perkančioji organizacija nerengs susitikimo su tiekėjais dėl pirkimo sąlygų paaiškinimo.</w:t>
      </w:r>
    </w:p>
    <w:p>
      <w:pPr>
        <w:pStyle w:val="ListParagraph"/>
        <w:spacing w:lineRule="auto" w:line="240" w:before="0" w:after="0"/>
        <w:ind w:left="567"/>
        <w:contextualSpacing/>
        <w:jc w:val="both"/>
        <w:rPr>
          <w:rFonts w:ascii="Times New Roman" w:hAnsi="Times New Roman" w:cs="Times New Roman"/>
          <w:sz w:val="24"/>
          <w:szCs w:val="24"/>
        </w:rPr>
      </w:pPr>
      <w:r>
        <w:rPr>
          <w:rFonts w:eastAsia="Calibri" w:cs="Times New Roman" w:ascii="Times New Roman" w:hAnsi="Times New Roman" w:eastAsiaTheme="minorHAnsi"/>
          <w:sz w:val="24"/>
          <w:szCs w:val="24"/>
          <w:lang w:eastAsia="en-US"/>
        </w:rPr>
        <w:t>3.2. P</w:t>
      </w:r>
      <w:r>
        <w:rPr>
          <w:rFonts w:cs="Times New Roman" w:ascii="Times New Roman" w:hAnsi="Times New Roman"/>
          <w:sz w:val="24"/>
          <w:szCs w:val="24"/>
        </w:rPr>
        <w:t>erkančioji organizacija nerengs objekto apžiūros.</w:t>
      </w:r>
    </w:p>
    <w:p>
      <w:pPr>
        <w:pStyle w:val="ListParagraph"/>
        <w:spacing w:lineRule="auto" w:line="240" w:before="0" w:after="0"/>
        <w:ind w:left="567"/>
        <w:contextualSpacing/>
        <w:jc w:val="both"/>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Heading1"/>
        <w:spacing w:lineRule="atLeast" w:line="20" w:before="0" w:after="0"/>
        <w:contextualSpacing/>
        <w:rPr>
          <w:rFonts w:ascii="Times New Roman" w:hAnsi="Times New Roman" w:cs="Times New Roman"/>
          <w:sz w:val="32"/>
          <w:szCs w:val="32"/>
        </w:rPr>
      </w:pPr>
      <w:bookmarkStart w:id="12" w:name="_Toc196987776"/>
      <w:bookmarkStart w:id="13" w:name="_Ref39474188"/>
      <w:bookmarkStart w:id="14" w:name="_Ref39473761"/>
      <w:bookmarkStart w:id="15" w:name="_Ref39473754"/>
      <w:r>
        <w:rPr>
          <w:rFonts w:cs="Times New Roman" w:ascii="Times New Roman" w:hAnsi="Times New Roman"/>
          <w:sz w:val="24"/>
          <w:szCs w:val="24"/>
        </w:rPr>
        <w:t xml:space="preserve">4. </w:t>
      </w:r>
      <w:r>
        <w:rPr>
          <w:rFonts w:cs="Times New Roman" w:ascii="Times New Roman" w:hAnsi="Times New Roman"/>
          <w:sz w:val="32"/>
          <w:szCs w:val="32"/>
        </w:rPr>
        <w:t>Tiekėjų pašalinimo pagrindai</w:t>
      </w:r>
      <w:bookmarkEnd w:id="13"/>
      <w:bookmarkEnd w:id="14"/>
      <w:bookmarkEnd w:id="15"/>
      <w:r>
        <w:rPr>
          <w:rFonts w:cs="Times New Roman" w:ascii="Times New Roman" w:hAnsi="Times New Roman"/>
          <w:sz w:val="32"/>
          <w:szCs w:val="32"/>
        </w:rPr>
        <w:t xml:space="preserve"> ir kvalifikacijos reikalavimai</w:t>
      </w:r>
      <w:bookmarkEnd w:id="12"/>
    </w:p>
    <w:p>
      <w:pPr>
        <w:pStyle w:val="ListParagraph"/>
        <w:spacing w:lineRule="atLeast" w:line="2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4.1. Reikalavimai dėl tiekėjo ir</w:t>
      </w:r>
      <w:bookmarkStart w:id="16" w:name="_Hlk41039660"/>
      <w:r>
        <w:rPr>
          <w:rFonts w:cs="Times New Roman" w:ascii="Times New Roman" w:hAnsi="Times New Roman"/>
          <w:sz w:val="24"/>
          <w:szCs w:val="24"/>
        </w:rPr>
        <w:t xml:space="preserve"> subtiekėjų (jei taikoma), ūkio subjektų, kurių pajėgumais tiekėjas remiasi, </w:t>
      </w:r>
      <w:bookmarkEnd w:id="16"/>
      <w:r>
        <w:rPr>
          <w:rFonts w:cs="Times New Roman" w:ascii="Times New Roman" w:hAnsi="Times New Roman"/>
          <w:sz w:val="24"/>
          <w:szCs w:val="24"/>
        </w:rPr>
        <w:t xml:space="preserve">pašalinimo pagrindų nebuvimo bei jų nebuvimą patvirtinantys dokumentai nurodyti specialiųjų </w:t>
      </w:r>
      <w:r>
        <w:rPr>
          <w:rFonts w:eastAsia="Calibri" w:cs="Times New Roman" w:ascii="Times New Roman" w:hAnsi="Times New Roman"/>
          <w:sz w:val="24"/>
          <w:szCs w:val="24"/>
        </w:rPr>
        <w:t xml:space="preserve">pirkimo sąlygų </w:t>
      </w:r>
      <w:r>
        <w:rPr>
          <w:rFonts w:cs="Times New Roman" w:ascii="Times New Roman" w:hAnsi="Times New Roman"/>
          <w:sz w:val="24"/>
          <w:szCs w:val="24"/>
        </w:rPr>
        <w:t>3</w:t>
      </w:r>
      <w:r>
        <w:rPr>
          <w:rFonts w:cs="Times New Roman" w:ascii="Times New Roman" w:hAnsi="Times New Roman"/>
          <w:color w:val="00B050"/>
          <w:sz w:val="24"/>
          <w:szCs w:val="24"/>
        </w:rPr>
        <w:t xml:space="preserve">  </w:t>
      </w:r>
      <w:r>
        <w:rPr>
          <w:rFonts w:eastAsia="Calibri" w:cs="Times New Roman" w:ascii="Times New Roman" w:hAnsi="Times New Roman"/>
          <w:sz w:val="24"/>
          <w:szCs w:val="24"/>
        </w:rPr>
        <w:t>priede</w:t>
      </w:r>
      <w:r>
        <w:rPr>
          <w:rFonts w:cs="Times New Roman" w:ascii="Times New Roman" w:hAnsi="Times New Roman"/>
          <w:sz w:val="24"/>
          <w:szCs w:val="24"/>
        </w:rPr>
        <w:t xml:space="preserve">. </w:t>
      </w:r>
    </w:p>
    <w:p>
      <w:pPr>
        <w:pStyle w:val="ListParagraph"/>
        <w:spacing w:lineRule="atLeast" w:line="20" w:before="0" w:after="0"/>
        <w:ind w:firstLine="567" w:left="0"/>
        <w:contextualSpacing/>
        <w:jc w:val="both"/>
        <w:rPr>
          <w:rFonts w:ascii="Times New Roman" w:hAnsi="Times New Roman" w:cs="Times New Roman"/>
          <w:sz w:val="32"/>
          <w:szCs w:val="32"/>
        </w:rPr>
      </w:pPr>
      <w:r>
        <w:rPr>
          <w:rFonts w:cs="Times New Roman" w:ascii="Times New Roman" w:hAnsi="Times New Roman"/>
          <w:sz w:val="32"/>
          <w:szCs w:val="32"/>
        </w:rPr>
      </w:r>
    </w:p>
    <w:p>
      <w:pPr>
        <w:pStyle w:val="Heading1"/>
        <w:tabs>
          <w:tab w:val="clear" w:pos="1296"/>
          <w:tab w:val="left" w:pos="567" w:leader="none"/>
        </w:tabs>
        <w:spacing w:before="0" w:after="0"/>
        <w:contextualSpacing/>
        <w:jc w:val="both"/>
        <w:rPr>
          <w:rFonts w:ascii="Times New Roman" w:hAnsi="Times New Roman" w:cs="Times New Roman"/>
          <w:sz w:val="32"/>
          <w:szCs w:val="32"/>
        </w:rPr>
      </w:pPr>
      <w:bookmarkStart w:id="17" w:name="_Toc196987777"/>
      <w:r>
        <w:rPr>
          <w:rFonts w:cs="Times New Roman" w:ascii="Times New Roman" w:hAnsi="Times New Roman"/>
          <w:sz w:val="32"/>
          <w:szCs w:val="32"/>
        </w:rPr>
        <w:t>5.Reikalavimai, susiję su nacionaliniu saugumu</w:t>
      </w:r>
      <w:bookmarkEnd w:id="17"/>
      <w:r>
        <w:rPr>
          <w:rFonts w:cs="Times New Roman" w:ascii="Times New Roman" w:hAnsi="Times New Roman"/>
          <w:sz w:val="32"/>
          <w:szCs w:val="32"/>
        </w:rPr>
        <w:t xml:space="preserve">  </w:t>
      </w:r>
    </w:p>
    <w:p>
      <w:pPr>
        <w:pStyle w:val="Normal"/>
        <w:spacing w:lineRule="auto" w:line="240" w:before="0" w:after="0"/>
        <w:ind w:firstLine="567"/>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 xml:space="preserve">5.1. </w:t>
      </w:r>
      <w:r>
        <w:rPr>
          <w:rFonts w:cs="Times New Roman" w:ascii="Times New Roman" w:hAnsi="Times New Roman"/>
          <w:iCs/>
          <w:color w:themeColor="text1" w:val="000000"/>
          <w:sz w:val="24"/>
          <w:szCs w:val="24"/>
        </w:rPr>
        <w:t xml:space="preserve">Perkančioji organizacija netaiko nuostatų </w:t>
      </w:r>
      <w:r>
        <w:rPr>
          <w:rFonts w:cs="Times New Roman" w:ascii="Times New Roman" w:hAnsi="Times New Roman"/>
          <w:color w:themeColor="text1" w:val="000000"/>
          <w:sz w:val="24"/>
          <w:szCs w:val="24"/>
        </w:rPr>
        <w:t>susijusiu su nacionaliniu saugumu.</w:t>
      </w:r>
    </w:p>
    <w:p>
      <w:pPr>
        <w:pStyle w:val="Normal"/>
        <w:spacing w:lineRule="auto" w:line="240" w:before="0" w:after="0"/>
        <w:jc w:val="both"/>
        <w:rPr>
          <w:rFonts w:ascii="Times New Roman" w:hAnsi="Times New Roman" w:cs="Times New Roman"/>
          <w:i/>
          <w:i/>
          <w:iCs/>
          <w:color w:val="7030A0"/>
          <w:sz w:val="32"/>
          <w:szCs w:val="32"/>
        </w:rPr>
      </w:pPr>
      <w:r>
        <w:rPr>
          <w:rFonts w:cs="Times New Roman" w:ascii="Times New Roman" w:hAnsi="Times New Roman"/>
          <w:i/>
          <w:iCs/>
          <w:color w:val="7030A0"/>
          <w:sz w:val="32"/>
          <w:szCs w:val="32"/>
        </w:rPr>
      </w:r>
    </w:p>
    <w:p>
      <w:pPr>
        <w:pStyle w:val="Heading1"/>
        <w:spacing w:lineRule="atLeast" w:line="20" w:before="0" w:after="0"/>
        <w:contextualSpacing/>
        <w:rPr>
          <w:rFonts w:ascii="Times New Roman" w:hAnsi="Times New Roman" w:cs="Times New Roman"/>
          <w:sz w:val="32"/>
          <w:szCs w:val="32"/>
        </w:rPr>
      </w:pPr>
      <w:bookmarkStart w:id="18" w:name="_Toc196987778"/>
      <w:bookmarkStart w:id="19" w:name="_Ref39666796"/>
      <w:bookmarkStart w:id="20" w:name="_Ref39666794"/>
      <w:r>
        <w:rPr>
          <w:rFonts w:cs="Times New Roman" w:ascii="Times New Roman" w:hAnsi="Times New Roman"/>
          <w:sz w:val="32"/>
          <w:szCs w:val="32"/>
        </w:rPr>
        <w:t>6. Specialieji reikalavimai pasiūlymų rengimui ir pateikimui</w:t>
      </w:r>
      <w:bookmarkEnd w:id="18"/>
      <w:bookmarkEnd w:id="19"/>
      <w:bookmarkEnd w:id="20"/>
    </w:p>
    <w:p>
      <w:pPr>
        <w:pStyle w:val="Normal"/>
        <w:spacing w:lineRule="atLeast" w:line="20" w:before="0" w:after="0"/>
        <w:ind w:firstLine="567"/>
        <w:jc w:val="both"/>
        <w:rPr>
          <w:rFonts w:ascii="Times New Roman" w:hAnsi="Times New Roman" w:cs="Times New Roman"/>
          <w:i/>
          <w:i/>
          <w:iCs/>
          <w:color w:val="7030A0"/>
          <w:sz w:val="24"/>
          <w:szCs w:val="24"/>
        </w:rPr>
      </w:pPr>
      <w:r>
        <w:rPr>
          <w:rFonts w:cs="Times New Roman" w:ascii="Times New Roman" w:hAnsi="Times New Roman"/>
          <w:sz w:val="24"/>
          <w:szCs w:val="24"/>
        </w:rPr>
        <w:t>6.1. Tiekėjo pasiūlymą sudaro CVP IS pateikiamų ir žemiau nurodytų dokumentų visuma:</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 xml:space="preserve">tiekėjo pasirašytas pasiūlymas, parengtas pagal specialiųjų pirkimo sąlygų </w:t>
      </w:r>
      <w:r>
        <w:rPr>
          <w:rFonts w:cs="Times New Roman" w:ascii="Times New Roman" w:hAnsi="Times New Roman"/>
          <w:sz w:val="24"/>
          <w:szCs w:val="24"/>
          <w:shd w:fill="FFFFFF" w:val="clear"/>
        </w:rPr>
        <w:t xml:space="preserve">6 </w:t>
      </w:r>
      <w:r>
        <w:rPr>
          <w:rFonts w:cs="Times New Roman" w:ascii="Times New Roman" w:hAnsi="Times New Roman"/>
          <w:sz w:val="24"/>
          <w:szCs w:val="24"/>
        </w:rPr>
        <w:t>priede pateiktą pasiūlymo formą.</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užpildytas ir pasirašytas EBVPD</w:t>
      </w:r>
      <w:r>
        <w:rPr>
          <w:rStyle w:val="FootnoteReference"/>
          <w:rFonts w:cs="Times New Roman" w:ascii="Times New Roman" w:hAnsi="Times New Roman"/>
          <w:sz w:val="24"/>
          <w:szCs w:val="24"/>
        </w:rPr>
        <w:footnoteReference w:id="2"/>
      </w:r>
      <w:r>
        <w:rPr>
          <w:rFonts w:cs="Times New Roman" w:ascii="Times New Roman" w:hAnsi="Times New Roman"/>
          <w:sz w:val="24"/>
          <w:szCs w:val="24"/>
        </w:rPr>
        <w:t xml:space="preserve"> (specialiųjų pirkimo sąlygų 5</w:t>
      </w:r>
      <w:r>
        <w:rPr>
          <w:rFonts w:cs="Times New Roman" w:ascii="Times New Roman" w:hAnsi="Times New Roman"/>
          <w:color w:val="00B050"/>
          <w:sz w:val="24"/>
          <w:szCs w:val="24"/>
        </w:rPr>
        <w:t xml:space="preserve"> </w:t>
      </w:r>
      <w:r>
        <w:rPr>
          <w:rFonts w:cs="Times New Roman" w:ascii="Times New Roman" w:hAnsi="Times New Roman"/>
          <w:sz w:val="24"/>
          <w:szCs w:val="24"/>
        </w:rPr>
        <w:t>priedas);</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jungtinės veiklos sutarties kopija (jeigu pirkime dalyvauja ūkio subjektų grupė jungtinės veiklos sutarties pagrindu);</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dokumentas, patvirtinantis, kad asmuo, kuris pasirašė pasiūlymą (jei jis ne tiekėjo vadovas), turėjo teisę jį pasirašyti;</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ūkio subjektus, kurių pajėgumais remiasi, – įrodymai, kad šie ištekliai bus prieinami per visą sutartinių įsipareigojimų vykdymo laikotarpį;</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 xml:space="preserve"> </w:t>
      </w:r>
      <w:r>
        <w:rPr>
          <w:rFonts w:cs="Times New Roman" w:ascii="Times New Roman" w:hAnsi="Times New Roman"/>
          <w:sz w:val="24"/>
          <w:szCs w:val="24"/>
        </w:rPr>
        <w:t xml:space="preserve">jei tiekėjas pasitelkia subtiekėjus, subtiekėjo deklaracija ar kitas dokumentas, </w:t>
      </w:r>
      <w:r>
        <w:rPr>
          <w:rFonts w:cs="Times New Roman" w:ascii="Times New Roman" w:hAnsi="Times New Roman"/>
          <w:sz w:val="24"/>
          <w:szCs w:val="24"/>
          <w:shd w:fill="FFFFFF" w:val="clear"/>
        </w:rPr>
        <w:t>patvirtinantis jo sutikimą būti subtiekėju pirkime;</w:t>
      </w:r>
    </w:p>
    <w:p>
      <w:pPr>
        <w:pStyle w:val="ListParagraph"/>
        <w:numPr>
          <w:ilvl w:val="2"/>
          <w:numId w:val="5"/>
        </w:numPr>
        <w:spacing w:lineRule="auto" w:line="240" w:before="0" w:after="0"/>
        <w:ind w:firstLine="709" w:left="0"/>
        <w:contextualSpacing/>
        <w:jc w:val="both"/>
        <w:rPr>
          <w:highlight w:val="none"/>
          <w:shd w:fill="FFFFFF" w:val="clear"/>
        </w:rPr>
      </w:pPr>
      <w:r>
        <w:rPr>
          <w:rFonts w:cs="Times New Roman" w:ascii="Times New Roman" w:hAnsi="Times New Roman"/>
          <w:sz w:val="24"/>
          <w:szCs w:val="24"/>
          <w:shd w:fill="FFFFFF" w:val="clear"/>
        </w:rPr>
        <w:t>dokumentai, patvirtinantys, kad ūkio subjektas, kurio pajėgumais tiekėjas remiasi, atsižvelgdamas į specialiųjų pirkimo sąlygų 4</w:t>
      </w:r>
      <w:r>
        <w:rPr>
          <w:rFonts w:cs="Times New Roman" w:ascii="Times New Roman" w:hAnsi="Times New Roman"/>
          <w:color w:val="00B050"/>
          <w:sz w:val="24"/>
          <w:szCs w:val="24"/>
          <w:shd w:fill="FFFFFF" w:val="clear"/>
        </w:rPr>
        <w:t xml:space="preserve"> </w:t>
      </w:r>
      <w:r>
        <w:rPr>
          <w:rFonts w:cs="Times New Roman" w:ascii="Times New Roman" w:hAnsi="Times New Roman"/>
          <w:sz w:val="24"/>
          <w:szCs w:val="24"/>
          <w:shd w:fill="FFFFFF" w:val="clear"/>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(nereikalaujama);</w:t>
      </w:r>
      <w:r>
        <w:rPr>
          <w:rFonts w:cs="Times New Roman" w:ascii="Times New Roman" w:hAnsi="Times New Roman"/>
          <w:i/>
          <w:iCs/>
          <w:color w:val="FF0000"/>
          <w:sz w:val="24"/>
          <w:szCs w:val="24"/>
          <w:shd w:fill="FFFFFF" w:val="clear"/>
        </w:rPr>
        <w:t xml:space="preserve"> </w:t>
      </w:r>
    </w:p>
    <w:p>
      <w:pPr>
        <w:pStyle w:val="ListParagraph"/>
        <w:numPr>
          <w:ilvl w:val="2"/>
          <w:numId w:val="5"/>
        </w:numPr>
        <w:tabs>
          <w:tab w:val="clear" w:pos="1296"/>
          <w:tab w:val="left" w:pos="1560" w:leader="none"/>
        </w:tabs>
        <w:spacing w:lineRule="auto" w:line="240" w:before="0" w:after="0"/>
        <w:ind w:firstLine="567" w:left="0"/>
        <w:contextualSpacing/>
        <w:jc w:val="both"/>
        <w:rPr>
          <w:rFonts w:ascii="Calibri" w:hAnsi="Calibri" w:eastAsia="" w:cs="" w:asciiTheme="minorHAnsi" w:cstheme="minorBidi" w:eastAsiaTheme="minorEastAsia" w:hAnsiTheme="minorHAnsi"/>
          <w:highlight w:val="none"/>
          <w:shd w:fill="FFFFFF" w:val="clear"/>
        </w:rPr>
      </w:pPr>
      <w:r>
        <w:rPr>
          <w:rFonts w:eastAsia="" w:cs="Times New Roman" w:ascii="Times New Roman" w:hAnsi="Times New Roman" w:eastAsiaTheme="minorEastAsia"/>
          <w:sz w:val="24"/>
          <w:szCs w:val="24"/>
          <w:shd w:fill="FFFFFF" w:val="clear"/>
        </w:rPr>
        <w:t>Siūlomų specialistų minimalios kvalifikacinės patirties atitiktis Viešojo pirkimo sąlygose nustatytiems reikalavimams, gali būti tikslinama, aiškinama ar papildoma pagal VPĮ nustatytas ir Lietuvos Aukščiausiojo Teismo suformuotas kvalifikacijos tikslinimo taisykles.</w:t>
      </w:r>
    </w:p>
    <w:p>
      <w:pPr>
        <w:pStyle w:val="Normal"/>
        <w:spacing w:lineRule="auto" w:line="240" w:before="0" w:after="0"/>
        <w:ind w:firstLine="709"/>
        <w:jc w:val="both"/>
        <w:rPr>
          <w:rFonts w:ascii="Times New Roman" w:hAnsi="Times New Roman" w:cs="Times New Roman"/>
          <w:sz w:val="24"/>
          <w:szCs w:val="24"/>
          <w:u w:val="single"/>
        </w:rPr>
      </w:pPr>
      <w:r>
        <w:rPr>
          <w:rFonts w:eastAsia="Calibri" w:cs="Times New Roman" w:ascii="Times New Roman" w:hAnsi="Times New Roman"/>
          <w:sz w:val="24"/>
          <w:szCs w:val="24"/>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Pr>
          <w:rFonts w:cs="Times New Roman" w:ascii="Times New Roman" w:hAnsi="Times New Roman"/>
          <w:sz w:val="24"/>
          <w:szCs w:val="24"/>
        </w:rPr>
        <w:t>Perkančiajai organizacijai kilus abejonių dėl dokumentų tikrumo, ji turi teisę reikalauti pateikti dokumentų originalus.</w:t>
      </w:r>
      <w:r>
        <w:rPr>
          <w:rFonts w:eastAsia="Calibri" w:cs="Times New Roman" w:ascii="Times New Roman" w:hAnsi="Times New Roman"/>
          <w:sz w:val="24"/>
          <w:szCs w:val="24"/>
        </w:rPr>
        <w:t xml:space="preserve"> Gali būti:</w:t>
      </w:r>
    </w:p>
    <w:p>
      <w:pPr>
        <w:pStyle w:val="ListParagraph"/>
        <w:spacing w:lineRule="auto" w:line="240" w:before="0" w:after="0"/>
        <w:ind w:firstLine="851" w:left="0"/>
        <w:contextualSpacing/>
        <w:jc w:val="both"/>
        <w:rPr>
          <w:rFonts w:ascii="Times New Roman" w:hAnsi="Times New Roman" w:cs="Times New Roman"/>
          <w:iCs/>
          <w:sz w:val="24"/>
          <w:szCs w:val="24"/>
          <w:u w:val="single"/>
        </w:rPr>
      </w:pPr>
      <w:r>
        <w:rPr>
          <w:rFonts w:eastAsia="Calibri" w:cs="Times New Roman" w:ascii="Times New Roman" w:hAnsi="Times New Roman"/>
          <w:iCs/>
          <w:sz w:val="24"/>
          <w:szCs w:val="24"/>
        </w:rPr>
        <w:t>6.2.1 pateikiami kvalifikuotu elektroniniu parašu pasirašyti elektroninėmis priemonėmis suformuoti dokumentai;</w:t>
      </w:r>
    </w:p>
    <w:p>
      <w:pPr>
        <w:pStyle w:val="ListParagraph"/>
        <w:numPr>
          <w:ilvl w:val="2"/>
          <w:numId w:val="7"/>
        </w:numPr>
        <w:tabs>
          <w:tab w:val="clear" w:pos="1296"/>
          <w:tab w:val="left" w:pos="1418" w:leader="none"/>
        </w:tabs>
        <w:spacing w:lineRule="auto" w:line="240" w:before="0" w:after="0"/>
        <w:ind w:firstLine="851" w:left="0"/>
        <w:contextualSpacing/>
        <w:jc w:val="both"/>
        <w:rPr>
          <w:rFonts w:ascii="Times New Roman" w:hAnsi="Times New Roman" w:cs="Times New Roman"/>
          <w:iCs/>
          <w:sz w:val="24"/>
          <w:szCs w:val="24"/>
        </w:rPr>
      </w:pPr>
      <w:r>
        <w:rPr>
          <w:rFonts w:eastAsia="Calibri" w:cs="Times New Roman" w:ascii="Times New Roman" w:hAnsi="Times New Roman"/>
          <w:iCs/>
          <w:sz w:val="24"/>
          <w:szCs w:val="24"/>
        </w:rPr>
        <w:t>skaitmeninės dokumentų kopijos (fiziniu parašu tvirtinami dokumentai turi būti pateikiami pasirašyti ir nuskenuoti).</w:t>
      </w:r>
    </w:p>
    <w:p>
      <w:pPr>
        <w:pStyle w:val="ListParagraph"/>
        <w:numPr>
          <w:ilvl w:val="1"/>
          <w:numId w:val="6"/>
        </w:numPr>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Pasiūlymas turi būti parengtas, lietuvių arba anglų kalba</w:t>
      </w:r>
      <w:r>
        <w:rPr>
          <w:rFonts w:cs="Times New Roman" w:ascii="Times New Roman" w:hAnsi="Times New Roman"/>
          <w:color w:val="00B050"/>
          <w:sz w:val="24"/>
          <w:szCs w:val="24"/>
        </w:rPr>
        <w:t xml:space="preserve">. </w:t>
      </w:r>
      <w:r>
        <w:rPr>
          <w:rFonts w:eastAsia="Arial" w:cs="Times New Roman" w:ascii="Times New Roman" w:hAnsi="Times New Roman"/>
          <w:sz w:val="24"/>
          <w:szCs w:val="24"/>
        </w:rPr>
        <w:t xml:space="preserve">Jei kurie nors su pasiūlymu teikiami dokumentai parengti ne ta kalba, kuria reikalaujama, turi būti pateiktas tikslus vertimas į reikalaujamą kalbą. </w:t>
      </w:r>
      <w:r>
        <w:rPr>
          <w:rFonts w:cs="Times New Roman" w:ascii="Times New Roman" w:hAnsi="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pPr>
        <w:pStyle w:val="ListParagraph"/>
        <w:numPr>
          <w:ilvl w:val="1"/>
          <w:numId w:val="6"/>
        </w:numPr>
        <w:spacing w:lineRule="auto" w:line="240" w:before="0" w:after="0"/>
        <w:ind w:firstLine="710" w:left="0"/>
        <w:contextualSpacing/>
        <w:jc w:val="both"/>
        <w:rPr>
          <w:rFonts w:ascii="Times New Roman" w:hAnsi="Times New Roman" w:cs="Times New Roman"/>
          <w:sz w:val="24"/>
          <w:szCs w:val="24"/>
        </w:rPr>
      </w:pPr>
      <w:r>
        <w:rPr>
          <w:rFonts w:eastAsia="Arial" w:cs="Times New Roman" w:ascii="Times New Roman" w:hAnsi="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pPr>
        <w:pStyle w:val="ListParagraph"/>
        <w:numPr>
          <w:ilvl w:val="1"/>
          <w:numId w:val="6"/>
        </w:numPr>
        <w:spacing w:lineRule="auto" w:line="240" w:before="0" w:after="0"/>
        <w:ind w:firstLine="710" w:left="0"/>
        <w:contextualSpacing/>
        <w:jc w:val="both"/>
        <w:rPr>
          <w:rFonts w:ascii="Times New Roman" w:hAnsi="Times New Roman" w:cs="Times New Roman"/>
          <w:sz w:val="24"/>
          <w:szCs w:val="24"/>
        </w:rPr>
      </w:pPr>
      <w:r>
        <w:rPr>
          <w:rFonts w:eastAsia="Arial" w:cs="Times New Roman" w:ascii="Times New Roman" w:hAnsi="Times New Roman"/>
          <w:sz w:val="24"/>
          <w:szCs w:val="24"/>
        </w:rPr>
        <w:t xml:space="preserve">Tiekėjų pasiūlymuose nurodytos kainos bus vertinamos </w:t>
      </w:r>
      <w:r>
        <w:rPr>
          <w:rFonts w:cs="Times New Roman" w:ascii="Times New Roman" w:hAnsi="Times New Roman"/>
          <w:sz w:val="24"/>
          <w:szCs w:val="24"/>
        </w:rPr>
        <w:t xml:space="preserve">ir lyginamos Eur su visais mokesčiais, įskaitant PVM. </w:t>
      </w:r>
      <w:r>
        <w:rPr>
          <w:rFonts w:eastAsia="Times New Roman" w:cs="Times New Roman" w:ascii="Times New Roman" w:hAnsi="Times New Roman"/>
          <w:sz w:val="24"/>
          <w:szCs w:val="24"/>
        </w:rPr>
        <w:t xml:space="preserve"> </w:t>
      </w:r>
      <w:r>
        <w:rPr>
          <w:rFonts w:cs="Times New Roman" w:ascii="Times New Roman" w:hAnsi="Times New Roman"/>
          <w:sz w:val="24"/>
          <w:szCs w:val="24"/>
        </w:rPr>
        <w:t>tiekėjai į pasiūlymo kainą turi įskaičiuoti visus mokesčius ir visas sąnaudas, kurie bus reikalingi vykdant pirkimo sutartį.</w:t>
      </w:r>
    </w:p>
    <w:p>
      <w:pPr>
        <w:pStyle w:val="ListParagraph"/>
        <w:spacing w:lineRule="auto" w:line="240" w:before="0" w:after="0"/>
        <w:ind w:left="71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6"/>
        </w:numPr>
        <w:tabs>
          <w:tab w:val="clear" w:pos="1296"/>
          <w:tab w:val="left" w:pos="709" w:leader="none"/>
        </w:tabs>
        <w:spacing w:before="0" w:after="0"/>
        <w:rPr>
          <w:rFonts w:ascii="Times New Roman" w:hAnsi="Times New Roman" w:cs="Times New Roman"/>
          <w:sz w:val="32"/>
          <w:szCs w:val="32"/>
        </w:rPr>
      </w:pPr>
      <w:bookmarkStart w:id="21" w:name="_Toc196987779"/>
      <w:bookmarkStart w:id="22" w:name="_Ref39430779"/>
      <w:bookmarkStart w:id="23" w:name="_Ref39430768"/>
      <w:bookmarkStart w:id="24" w:name="_Toc91497106"/>
      <w:bookmarkStart w:id="25" w:name="_Toc91497105"/>
      <w:bookmarkStart w:id="26" w:name="_Toc91497104"/>
      <w:bookmarkStart w:id="27" w:name="_Toc91497103"/>
      <w:bookmarkStart w:id="28" w:name="_Toc91497102"/>
      <w:bookmarkEnd w:id="24"/>
      <w:bookmarkEnd w:id="25"/>
      <w:bookmarkEnd w:id="26"/>
      <w:bookmarkEnd w:id="27"/>
      <w:bookmarkEnd w:id="28"/>
      <w:r>
        <w:rPr>
          <w:rFonts w:cs="Times New Roman" w:ascii="Times New Roman" w:hAnsi="Times New Roman"/>
          <w:sz w:val="32"/>
          <w:szCs w:val="32"/>
        </w:rPr>
        <w:t>Pasiūlymo galiojimo užtikrinimas</w:t>
      </w:r>
      <w:bookmarkEnd w:id="21"/>
      <w:bookmarkEnd w:id="22"/>
      <w:bookmarkEnd w:id="23"/>
    </w:p>
    <w:p>
      <w:pPr>
        <w:pStyle w:val="ListParagraph"/>
        <w:spacing w:lineRule="auto" w:line="240" w:before="0" w:after="0"/>
        <w:ind w:firstLine="709" w:left="-142"/>
        <w:contextualSpacing/>
        <w:jc w:val="both"/>
        <w:rPr>
          <w:rFonts w:ascii="Times New Roman" w:hAnsi="Times New Roman" w:eastAsia="Calibri" w:cs="Times New Roman"/>
          <w:sz w:val="24"/>
          <w:szCs w:val="24"/>
        </w:rPr>
      </w:pPr>
      <w:r>
        <w:rPr>
          <w:rFonts w:cs="Times New Roman" w:ascii="Times New Roman" w:hAnsi="Times New Roman"/>
          <w:sz w:val="24"/>
          <w:szCs w:val="24"/>
        </w:rPr>
        <w:t>7.1. P</w:t>
      </w:r>
      <w:r>
        <w:rPr>
          <w:rFonts w:eastAsia="Calibri" w:cs="Times New Roman" w:ascii="Times New Roman" w:hAnsi="Times New Roman"/>
          <w:sz w:val="24"/>
          <w:szCs w:val="24"/>
        </w:rPr>
        <w:t>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ListParagraph"/>
        <w:spacing w:lineRule="auto" w:line="240" w:before="0" w:after="0"/>
        <w:ind w:firstLine="709" w:left="-142"/>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6"/>
        </w:numPr>
        <w:tabs>
          <w:tab w:val="clear" w:pos="1296"/>
          <w:tab w:val="left" w:pos="709" w:leader="none"/>
        </w:tabs>
        <w:spacing w:lineRule="atLeast" w:line="20" w:before="0" w:after="0"/>
        <w:contextualSpacing/>
        <w:rPr>
          <w:rFonts w:ascii="Times New Roman" w:hAnsi="Times New Roman" w:cs="Times New Roman"/>
          <w:sz w:val="32"/>
          <w:szCs w:val="32"/>
        </w:rPr>
      </w:pPr>
      <w:bookmarkStart w:id="29" w:name="_Toc196987780"/>
      <w:bookmarkStart w:id="30" w:name="_Ref39658251"/>
      <w:bookmarkStart w:id="31" w:name="_Ref39658248"/>
      <w:bookmarkStart w:id="32" w:name="_Ref39658226"/>
      <w:bookmarkStart w:id="33" w:name="_Ref39658218"/>
      <w:r>
        <w:rPr>
          <w:rFonts w:cs="Times New Roman" w:ascii="Times New Roman" w:hAnsi="Times New Roman"/>
          <w:sz w:val="32"/>
          <w:szCs w:val="32"/>
        </w:rPr>
        <w:t>Elektroninis aukcionas</w:t>
      </w:r>
      <w:bookmarkEnd w:id="29"/>
      <w:bookmarkEnd w:id="30"/>
      <w:bookmarkEnd w:id="31"/>
      <w:bookmarkEnd w:id="32"/>
      <w:bookmarkEnd w:id="33"/>
    </w:p>
    <w:p>
      <w:pPr>
        <w:pStyle w:val="Normal"/>
        <w:spacing w:lineRule="auto" w:line="240" w:before="0" w:after="0"/>
        <w:ind w:left="710"/>
        <w:rPr>
          <w:rFonts w:ascii="Times New Roman" w:hAnsi="Times New Roman" w:cs="Times New Roman"/>
          <w:sz w:val="24"/>
          <w:szCs w:val="24"/>
        </w:rPr>
      </w:pPr>
      <w:r>
        <w:rPr>
          <w:rFonts w:cs="Times New Roman" w:ascii="Times New Roman" w:hAnsi="Times New Roman"/>
          <w:sz w:val="24"/>
          <w:szCs w:val="24"/>
        </w:rPr>
        <w:t>8.1. Perkančioji organizacija pirkime netaikys elektroninio aukciono.</w:t>
      </w:r>
    </w:p>
    <w:p>
      <w:pPr>
        <w:pStyle w:val="Normal"/>
        <w:spacing w:lineRule="auto" w:line="240" w:before="0" w:after="0"/>
        <w:ind w:left="71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6"/>
        </w:numPr>
        <w:tabs>
          <w:tab w:val="clear" w:pos="1296"/>
          <w:tab w:val="left" w:pos="709" w:leader="none"/>
        </w:tabs>
        <w:spacing w:lineRule="atLeast" w:line="20" w:before="0" w:after="0"/>
        <w:contextualSpacing/>
        <w:rPr>
          <w:rFonts w:ascii="Times New Roman" w:hAnsi="Times New Roman" w:cs="Times New Roman"/>
          <w:sz w:val="32"/>
          <w:szCs w:val="32"/>
        </w:rPr>
      </w:pPr>
      <w:bookmarkStart w:id="34" w:name="_Ref39485258"/>
      <w:bookmarkStart w:id="35" w:name="_Ref39485250"/>
      <w:bookmarkStart w:id="36" w:name="_Toc196987781"/>
      <w:bookmarkStart w:id="37" w:name="_Ref39667308"/>
      <w:bookmarkStart w:id="38" w:name="_Ref39667303"/>
      <w:r>
        <w:rPr>
          <w:rFonts w:cs="Times New Roman" w:ascii="Times New Roman" w:hAnsi="Times New Roman"/>
          <w:sz w:val="32"/>
          <w:szCs w:val="32"/>
        </w:rPr>
        <w:t>Pasiūlymų vertinimas</w:t>
      </w:r>
      <w:bookmarkEnd w:id="34"/>
      <w:bookmarkEnd w:id="35"/>
      <w:bookmarkEnd w:id="36"/>
      <w:bookmarkEnd w:id="37"/>
      <w:bookmarkEnd w:id="38"/>
    </w:p>
    <w:p>
      <w:pPr>
        <w:pStyle w:val="Normal"/>
        <w:spacing w:lineRule="auto" w:line="240" w:before="0" w:after="0"/>
        <w:ind w:firstLine="710"/>
        <w:jc w:val="both"/>
        <w:rPr>
          <w:rFonts w:ascii="Times New Roman" w:hAnsi="Times New Roman" w:eastAsia="Calibri" w:cs="Times New Roman"/>
          <w:sz w:val="24"/>
          <w:szCs w:val="24"/>
        </w:rPr>
      </w:pPr>
      <w:r>
        <w:rPr>
          <w:rFonts w:cs="Times New Roman" w:ascii="Times New Roman" w:hAnsi="Times New Roman"/>
          <w:sz w:val="24"/>
          <w:szCs w:val="24"/>
        </w:rPr>
        <w:t xml:space="preserve">9.1. </w:t>
      </w:r>
      <w:r>
        <w:rPr>
          <w:rFonts w:eastAsia="Calibri" w:cs="Times New Roman" w:ascii="Times New Roman" w:hAnsi="Times New Roman"/>
          <w:sz w:val="24"/>
          <w:szCs w:val="24"/>
        </w:rPr>
        <w:t>Perkančioji organizacija ekonomiškai naudingiausią pasiūlymą išrenka pagal mažiausią kainą. Duomenys, kuriuos savo pasiūlyme turi pateikti tiek</w:t>
      </w:r>
      <w:r>
        <w:rPr>
          <w:rFonts w:eastAsia="Calibri" w:cs="Times New Roman" w:ascii="Times New Roman" w:hAnsi="Times New Roman"/>
          <w:sz w:val="24"/>
          <w:szCs w:val="24"/>
          <w:shd w:fill="FFFFFF" w:val="clear"/>
        </w:rPr>
        <w:t xml:space="preserve">ėjas, vertinimo kriterijai ir tvarka, pagal kuria vertinami tiekėjo pateikti duomenys, pateikiama specialiųjų pirkimo sąlygų </w:t>
      </w:r>
      <w:r>
        <w:rPr>
          <w:rFonts w:cs="Times New Roman" w:ascii="Times New Roman" w:hAnsi="Times New Roman"/>
          <w:sz w:val="24"/>
          <w:szCs w:val="24"/>
          <w:shd w:fill="FFFFFF" w:val="clear"/>
        </w:rPr>
        <w:t>7</w:t>
      </w:r>
      <w:r>
        <w:rPr>
          <w:rFonts w:eastAsia="Calibri" w:cs="Times New Roman" w:ascii="Times New Roman" w:hAnsi="Times New Roman"/>
          <w:sz w:val="24"/>
          <w:szCs w:val="24"/>
          <w:shd w:fill="FFFFFF" w:val="clear"/>
        </w:rPr>
        <w:t xml:space="preserve"> priede. </w:t>
      </w:r>
    </w:p>
    <w:p>
      <w:pPr>
        <w:pStyle w:val="ListParagraph"/>
        <w:spacing w:lineRule="atLeast" w:line="20" w:before="0" w:after="0"/>
        <w:ind w:firstLine="567" w:left="0"/>
        <w:contextualSpacing/>
        <w:jc w:val="both"/>
        <w:rPr>
          <w:rFonts w:ascii="Times New Roman" w:hAnsi="Times New Roman" w:eastAsia="Calibri" w:cs="Times New Roman" w:eastAsiaTheme="minorHAnsi"/>
          <w:iCs/>
          <w:sz w:val="24"/>
          <w:szCs w:val="24"/>
        </w:rPr>
      </w:pPr>
      <w:r>
        <w:rPr>
          <w:rFonts w:cs="Times New Roman" w:ascii="Times New Roman" w:hAnsi="Times New Roman"/>
          <w:color w:themeColor="text1" w:val="000000"/>
          <w:sz w:val="24"/>
          <w:szCs w:val="24"/>
          <w:shd w:fill="FFFFFF" w:val="clear"/>
        </w:rPr>
        <w:t>9.2. Laimėjusiu pasiūlymu galės būti pripažintas tik 1 (vien</w:t>
      </w:r>
      <w:r>
        <w:rPr>
          <w:rFonts w:cs="Times New Roman" w:ascii="Times New Roman" w:hAnsi="Times New Roman"/>
          <w:color w:themeColor="text1" w:val="000000"/>
          <w:sz w:val="24"/>
          <w:szCs w:val="24"/>
        </w:rPr>
        <w:t xml:space="preserve">as) ekonomiškai naudingiausias pasiūlymas, esantis pasiūlymų eilės pirmojoje vietoje. </w:t>
      </w:r>
    </w:p>
    <w:p>
      <w:pPr>
        <w:pStyle w:val="NoSpacing"/>
        <w:numPr>
          <w:ilvl w:val="1"/>
          <w:numId w:val="9"/>
        </w:numPr>
        <w:spacing w:lineRule="atLeast" w:line="20" w:before="0" w:after="0"/>
        <w:ind w:firstLine="709" w:left="0"/>
        <w:contextualSpacing/>
        <w:jc w:val="both"/>
        <w:rPr>
          <w:rStyle w:val="Cf01"/>
          <w:rFonts w:ascii="Times New Roman" w:hAnsi="Times New Roman" w:eastAsia="Calibri" w:cs="Times New Roman" w:eastAsiaTheme="minorHAnsi"/>
          <w:i/>
          <w:i/>
          <w:iCs/>
          <w:color w:val="7030A0"/>
          <w:sz w:val="24"/>
          <w:szCs w:val="24"/>
        </w:rPr>
      </w:pPr>
      <w:r>
        <w:rPr>
          <w:rStyle w:val="Cf01"/>
          <w:rFonts w:cs="Times New Roman" w:ascii="Times New Roman" w:hAnsi="Times New Roman"/>
          <w:sz w:val="24"/>
          <w:szCs w:val="24"/>
        </w:rPr>
        <w:t>Perkančioji organizacija atmes tiekėjo pasiūlymą, jeigu kartu su pasiūlymu nebus pateikti šie pirkimo sąlygose reikalaujami pateikti dokumentai: pasiūlymo forma (6 priedas).</w:t>
      </w:r>
    </w:p>
    <w:p>
      <w:pPr>
        <w:pStyle w:val="NoSpacing"/>
        <w:spacing w:lineRule="atLeast" w:line="20" w:before="0" w:after="0"/>
        <w:ind w:left="709"/>
        <w:contextualSpacing/>
        <w:jc w:val="both"/>
        <w:rPr>
          <w:rFonts w:ascii="Times New Roman" w:hAnsi="Times New Roman" w:eastAsia="Calibri" w:cs="Times New Roman" w:eastAsiaTheme="minorHAnsi"/>
          <w:i/>
          <w:i/>
          <w:iCs/>
          <w:color w:val="7030A0"/>
          <w:sz w:val="24"/>
          <w:szCs w:val="24"/>
        </w:rPr>
      </w:pPr>
      <w:r>
        <w:rPr>
          <w:rFonts w:eastAsia="Calibri" w:cs="Times New Roman" w:eastAsiaTheme="minorHAnsi" w:ascii="Times New Roman" w:hAnsi="Times New Roman"/>
          <w:i/>
          <w:iCs/>
          <w:color w:val="7030A0"/>
          <w:sz w:val="24"/>
          <w:szCs w:val="24"/>
        </w:rPr>
      </w:r>
    </w:p>
    <w:p>
      <w:pPr>
        <w:pStyle w:val="Heading1"/>
        <w:numPr>
          <w:ilvl w:val="0"/>
          <w:numId w:val="9"/>
        </w:numPr>
        <w:tabs>
          <w:tab w:val="clear" w:pos="1296"/>
          <w:tab w:val="left" w:pos="567" w:leader="none"/>
        </w:tabs>
        <w:spacing w:lineRule="atLeast" w:line="20" w:before="0" w:after="0"/>
        <w:contextualSpacing/>
        <w:rPr>
          <w:rFonts w:ascii="Times New Roman" w:hAnsi="Times New Roman" w:cs="Times New Roman"/>
          <w:sz w:val="32"/>
          <w:szCs w:val="32"/>
        </w:rPr>
      </w:pPr>
      <w:bookmarkStart w:id="39" w:name="_Toc196987782"/>
      <w:bookmarkStart w:id="40" w:name="_Ref39426005"/>
      <w:bookmarkStart w:id="41" w:name="_Ref39425999"/>
      <w:r>
        <w:rPr>
          <w:rFonts w:cs="Times New Roman" w:ascii="Times New Roman" w:hAnsi="Times New Roman"/>
          <w:sz w:val="32"/>
          <w:szCs w:val="32"/>
        </w:rPr>
        <w:t>Sutarties sudarymas</w:t>
      </w:r>
      <w:bookmarkEnd w:id="39"/>
      <w:bookmarkEnd w:id="40"/>
      <w:bookmarkEnd w:id="41"/>
    </w:p>
    <w:p>
      <w:pPr>
        <w:pStyle w:val="ListParagraph"/>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color w:themeColor="text1" w:val="000000"/>
          <w:sz w:val="24"/>
          <w:szCs w:val="24"/>
        </w:rPr>
        <w:t>10.1. Ši pirkimo procedūra atliekama siekiant sudaryti sutartį su tiekėju, kurio pasiūlymas, vadovaujantis pirkimo sąlygose</w:t>
      </w:r>
      <w:r>
        <w:rPr>
          <w:rFonts w:cs="Times New Roman" w:ascii="Times New Roman" w:hAnsi="Times New Roman"/>
          <w:color w:val="0070C0"/>
          <w:sz w:val="24"/>
          <w:szCs w:val="24"/>
        </w:rPr>
        <w:t xml:space="preserve"> </w:t>
      </w:r>
      <w:r>
        <w:rPr>
          <w:rFonts w:cs="Times New Roman" w:ascii="Times New Roman" w:hAnsi="Times New Roman"/>
          <w:color w:themeColor="text1" w:val="000000"/>
          <w:sz w:val="24"/>
          <w:szCs w:val="24"/>
        </w:rPr>
        <w:t xml:space="preserve">nustatyta tvarka, bus pripažintas laimėjęs, o jei pirkimas skaidomas į dalis – su tiekėjais, kurių pasiūlymai bus pripažinti laimėję. </w:t>
      </w:r>
      <w:r>
        <w:rPr>
          <w:rFonts w:cs="Times New Roman" w:ascii="Times New Roman" w:hAnsi="Times New Roman"/>
          <w:sz w:val="24"/>
          <w:szCs w:val="24"/>
        </w:rPr>
        <w:t>Sutarties sąlygos pateikiamos 8 Pirkimo sąlygų priede „Sutarties projektas“.</w:t>
      </w:r>
    </w:p>
    <w:p>
      <w:pPr>
        <w:pStyle w:val="ListParagraph"/>
        <w:spacing w:lineRule="auto" w:line="240" w:before="0" w:after="0"/>
        <w:ind w:firstLine="567" w:left="0"/>
        <w:contextualSpacing/>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r>
    </w:p>
    <w:p>
      <w:pPr>
        <w:pStyle w:val="Heading1"/>
        <w:numPr>
          <w:ilvl w:val="0"/>
          <w:numId w:val="8"/>
        </w:numPr>
        <w:tabs>
          <w:tab w:val="clear" w:pos="1296"/>
          <w:tab w:val="left" w:pos="567" w:leader="none"/>
        </w:tabs>
        <w:spacing w:lineRule="atLeast" w:line="20" w:before="0" w:after="0"/>
        <w:contextualSpacing/>
        <w:jc w:val="both"/>
        <w:rPr>
          <w:rFonts w:ascii="Times New Roman" w:hAnsi="Times New Roman" w:cs="Times New Roman"/>
          <w:sz w:val="32"/>
          <w:szCs w:val="32"/>
        </w:rPr>
      </w:pPr>
      <w:bookmarkStart w:id="42" w:name="_Toc196987783"/>
      <w:bookmarkStart w:id="43" w:name="_Toc147739116_Copy_1"/>
      <w:bookmarkEnd w:id="43"/>
      <w:r>
        <w:rPr>
          <w:rFonts w:cs="Times New Roman" w:ascii="Times New Roman" w:hAnsi="Times New Roman"/>
          <w:sz w:val="32"/>
          <w:szCs w:val="32"/>
        </w:rPr>
        <w:t>Kitos sąlygos</w:t>
      </w:r>
      <w:bookmarkEnd w:id="42"/>
    </w:p>
    <w:p>
      <w:pPr>
        <w:pStyle w:val="Normal"/>
        <w:shd w:val="clear" w:color="auto" w:fill="FFFFFF"/>
        <w:spacing w:lineRule="auto" w:line="240" w:before="0" w:after="0"/>
        <w:jc w:val="both"/>
        <w:rPr>
          <w:rFonts w:ascii="Times New Roman" w:hAnsi="Times New Roman" w:eastAsia="Times New Roman" w:cs="Times New Roman"/>
          <w:i/>
          <w:i/>
          <w:iCs/>
          <w:sz w:val="24"/>
          <w:szCs w:val="24"/>
        </w:rPr>
      </w:pPr>
      <w:r>
        <w:rPr>
          <w:rFonts w:eastAsia="Times New Roman" w:cs="Times New Roman" w:ascii="Times New Roman" w:hAnsi="Times New Roman"/>
          <w:i/>
          <w:iCs/>
          <w:sz w:val="24"/>
          <w:szCs w:val="24"/>
        </w:rPr>
        <w:t>netaikomos</w:t>
      </w:r>
    </w:p>
    <w:p>
      <w:pPr>
        <w:sectPr>
          <w:headerReference w:type="default" r:id="rId3"/>
          <w:footerReference w:type="default" r:id="rId4"/>
          <w:footerReference w:type="first" r:id="rId5"/>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5734"/>
        </w:sectPr>
        <w:pStyle w:val="Normal"/>
        <w:shd w:val="clear" w:color="auto" w:fill="FFFFFF"/>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__________</w:t>
      </w:r>
    </w:p>
    <w:p>
      <w:pPr>
        <w:pStyle w:val="Heading1"/>
        <w:spacing w:before="0" w:after="0"/>
        <w:jc w:val="right"/>
        <w:rPr>
          <w:rFonts w:ascii="Times New Roman" w:hAnsi="Times New Roman" w:cs="Times New Roman"/>
          <w:sz w:val="24"/>
          <w:szCs w:val="24"/>
        </w:rPr>
      </w:pPr>
      <w:bookmarkStart w:id="44" w:name="_Toc196987784"/>
      <w:r>
        <w:rPr>
          <w:rFonts w:cs="Times New Roman" w:ascii="Times New Roman" w:hAnsi="Times New Roman"/>
          <w:color w:val="0070C0"/>
          <w:sz w:val="24"/>
          <w:szCs w:val="24"/>
        </w:rPr>
        <w:t>Pirkimo sąlygų 1 priedas „Terminai“</w:t>
      </w:r>
      <w:bookmarkEnd w:id="44"/>
    </w:p>
    <w:p>
      <w:pPr>
        <w:pStyle w:val="Normal"/>
        <w:shd w:val="clear" w:color="auto" w:fill="FFFFFF"/>
        <w:spacing w:lineRule="auto" w:line="240" w:before="0" w:after="0"/>
        <w:jc w:val="right"/>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tbl>
      <w:tblPr>
        <w:tblW w:w="9854"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909"/>
        <w:gridCol w:w="2495"/>
        <w:gridCol w:w="3145"/>
        <w:gridCol w:w="3304"/>
      </w:tblGrid>
      <w:tr>
        <w:trPr>
          <w:trHeight w:val="20" w:hRule="atLeast"/>
        </w:trPr>
        <w:tc>
          <w:tcPr>
            <w:tcW w:w="909"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Eil.Nr.</w:t>
            </w:r>
          </w:p>
        </w:tc>
        <w:tc>
          <w:tcPr>
            <w:tcW w:w="2495"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VEIKSMAS</w:t>
            </w:r>
          </w:p>
        </w:tc>
        <w:tc>
          <w:tcPr>
            <w:tcW w:w="3145"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DATA/DIENŲ SKAIČIUS/ LAIKAS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(Lietuvos laiku)</w:t>
            </w:r>
          </w:p>
        </w:tc>
        <w:tc>
          <w:tcPr>
            <w:tcW w:w="3304"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PASTABOS</w:t>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495"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Pasiūlymų pateikimo terminas</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nurodytas skelbime</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iCs/>
                <w:sz w:val="24"/>
                <w:szCs w:val="24"/>
              </w:rPr>
            </w:pPr>
            <w:r>
              <w:rPr>
                <w:rFonts w:cs="Times New Roman" w:ascii="Times New Roman" w:hAnsi="Times New Roman"/>
                <w:sz w:val="24"/>
                <w:szCs w:val="24"/>
              </w:rPr>
              <w:t>Perkančioji organizacija turi teisę pratęsti pasiūlymų pateikimo terminą.</w:t>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2.</w:t>
            </w:r>
          </w:p>
        </w:tc>
        <w:tc>
          <w:tcPr>
            <w:tcW w:w="2495"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eastAsia="Times New Roman" w:cs="Times New Roman" w:ascii="Times New Roman" w:hAnsi="Times New Roman"/>
                <w:sz w:val="24"/>
                <w:szCs w:val="24"/>
              </w:rPr>
              <w:t>Pradinis susipažinimas su CVP IS priemonėmis gautais pasiūlymais</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Pradedamas ne anksčiau nei </w:t>
            </w:r>
            <w:r>
              <w:rPr>
                <w:rFonts w:cs="Times New Roman" w:ascii="Times New Roman" w:hAnsi="Times New Roman"/>
                <w:color w:themeColor="text1" w:val="000000"/>
                <w:sz w:val="24"/>
                <w:szCs w:val="24"/>
              </w:rPr>
              <w:t>po 30 (trisdešimt) minučių</w:t>
            </w:r>
            <w:r>
              <w:rPr>
                <w:rFonts w:cs="Times New Roman" w:ascii="Times New Roman" w:hAnsi="Times New Roman"/>
                <w:sz w:val="24"/>
                <w:szCs w:val="24"/>
              </w:rPr>
              <w:t xml:space="preserve"> po pasiūlymų pateikimo termino pabaigos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iCs/>
                <w:sz w:val="24"/>
                <w:szCs w:val="24"/>
              </w:rPr>
            </w:pPr>
            <w:r>
              <w:rPr>
                <w:rFonts w:cs="Times New Roman" w:ascii="Times New Roman" w:hAnsi="Times New Roman"/>
                <w:iCs/>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3.</w:t>
            </w:r>
          </w:p>
        </w:tc>
        <w:tc>
          <w:tcPr>
            <w:tcW w:w="2495"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Prašymą paaiškinti, patikslinti pirkimo sąlygas tiekėjas turi pateikti ne vėliau kaip:</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2 (dvi) darbo dienos iki pasiūlymų pateikimo termino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iCs/>
                <w:color w:val="7030A0"/>
                <w:sz w:val="24"/>
                <w:szCs w:val="24"/>
              </w:rPr>
            </w:pPr>
            <w:r>
              <w:rPr>
                <w:rFonts w:cs="Times New Roman" w:ascii="Times New Roman" w:hAnsi="Times New Roman"/>
                <w:iCs/>
                <w:color w:val="7030A0"/>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sąlygų paaiškinimą, patikslinimą pateikia visiems tiekėjams ne vėliau kaip:</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 (vienai) darbo dienai iki pasiūlymų pateikimo termino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Pasiūlymo galiojimo ir pasiūlymo galiojimo užtikrinimo (jei taikoma) terminas ne trumpesnis kaip</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iCs/>
                <w:sz w:val="24"/>
                <w:szCs w:val="24"/>
              </w:rPr>
            </w:pPr>
            <w:r>
              <w:rPr>
                <w:rFonts w:cs="Times New Roman" w:ascii="Times New Roman" w:hAnsi="Times New Roman"/>
                <w:iCs/>
                <w:sz w:val="24"/>
                <w:szCs w:val="24"/>
                <w:lang w:val="en-US"/>
              </w:rPr>
              <w:t>90</w:t>
            </w:r>
            <w:r>
              <w:rPr>
                <w:rFonts w:cs="Times New Roman" w:ascii="Times New Roman" w:hAnsi="Times New Roman"/>
                <w:iCs/>
                <w:sz w:val="24"/>
                <w:szCs w:val="24"/>
              </w:rPr>
              <w:t xml:space="preserve"> (</w:t>
            </w:r>
            <w:r>
              <w:rPr>
                <w:rFonts w:cs="Times New Roman" w:ascii="Times New Roman" w:hAnsi="Times New Roman"/>
                <w:iCs/>
                <w:sz w:val="24"/>
                <w:szCs w:val="24"/>
                <w:lang w:val="en-US"/>
              </w:rPr>
              <w:t>devyn</w:t>
            </w:r>
            <w:r>
              <w:rPr>
                <w:rFonts w:cs="Times New Roman" w:ascii="Times New Roman" w:hAnsi="Times New Roman"/>
                <w:iCs/>
                <w:sz w:val="24"/>
                <w:szCs w:val="24"/>
              </w:rPr>
              <w:t>iasdešimt) dienų nuo pasiūlymų pateikimo galutinio termino pabaigos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atsako tiekėjui, ar ji sutinka priimti tiekėjo siūlomą pasiūlymo galiojimo užtikrinimą patvirtinantį dokumentą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Netaikoma</w:t>
            </w:r>
          </w:p>
          <w:p>
            <w:pPr>
              <w:pStyle w:val="Normal"/>
              <w:spacing w:lineRule="auto" w:line="240" w:before="0" w:after="0"/>
              <w:rPr>
                <w:rFonts w:ascii="Times New Roman" w:hAnsi="Times New Roman" w:cs="Times New Roman"/>
                <w:iCs/>
                <w:sz w:val="24"/>
                <w:szCs w:val="24"/>
              </w:rPr>
            </w:pPr>
            <w:r>
              <w:rPr>
                <w:rFonts w:cs="Times New Roman" w:ascii="Times New Roman" w:hAnsi="Times New Roman"/>
                <w:iCs/>
                <w:sz w:val="24"/>
                <w:szCs w:val="24"/>
              </w:rPr>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themeColor="text1" w:val="000000"/>
                <w:sz w:val="24"/>
                <w:szCs w:val="24"/>
              </w:rPr>
              <w:t>Pasiūlymo galiojimo užtikrinimas pirkimo dalyviui grąžinamas (arba atsisakoma teisių į jį)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Netaikoma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informuoja pirkimo dalyvius apie EBVPD vertinimo rezultatus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3 (tris) darbo dienas nuo sprendimo priėmimo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dalyviams praneša apie priimtą sprendimą nustatyti laimėjusį pasiūlymą, dėl kurio bus sudaroma sutartis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3 (tris) darbo dienas nuo sprendimo priėmimo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386" w:left="-386"/>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dalyviui raštu paprašius, jam pateikia VPĮ 58 straipsnio 2 dalyje nustatytą informaciją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15 (penkiolika) dienų nuo pirkimo dalyvio raštu pateikto prašymo gavimo dienos</w:t>
            </w:r>
          </w:p>
        </w:tc>
        <w:tc>
          <w:tcPr>
            <w:tcW w:w="3304" w:type="dxa"/>
            <w:tcBorders>
              <w:top w:val="single" w:sz="4" w:space="0" w:color="000000"/>
              <w:left w:val="single" w:sz="4" w:space="0" w:color="000000"/>
              <w:bottom w:val="single" w:sz="4" w:space="0" w:color="000000"/>
              <w:right w:val="single" w:sz="4" w:space="0" w:color="000000"/>
            </w:tcBorders>
          </w:tcPr>
          <w:p>
            <w:pPr>
              <w:pStyle w:val="Tajtip"/>
              <w:shd w:val="clear" w:color="auto" w:fill="FFFFFF"/>
              <w:spacing w:beforeAutospacing="0" w:before="0" w:afterAutospacing="0" w:after="0"/>
              <w:ind w:firstLine="313"/>
              <w:rPr/>
            </w:pPr>
            <w:r>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shd w:fill="FFFFFF" w:val="clear"/>
              </w:rPr>
              <w:t xml:space="preserve">Tiekėjas turi teisę pateikti pretenziją perkančiajai organizacijai, pateikti prašymą ar pareikšti ieškinį teismui </w:t>
            </w:r>
            <w:r>
              <w:rPr>
                <w:rFonts w:cs="Times New Roman" w:ascii="Times New Roman" w:hAnsi="Times New Roman"/>
                <w:sz w:val="24"/>
                <w:szCs w:val="24"/>
              </w:rPr>
              <w:t>ne vėliau kaip per</w:t>
            </w:r>
            <w:r>
              <w:rPr>
                <w:rStyle w:val="FootnoteReference"/>
                <w:rFonts w:cs="Times New Roman" w:ascii="Times New Roman" w:hAnsi="Times New Roman"/>
                <w:sz w:val="24"/>
                <w:szCs w:val="24"/>
              </w:rPr>
              <w:footnoteReference w:id="3"/>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10 (dešimt) dienų nuo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pranešimo raštu apie jos priimtą sprendimą išsiuntimo tiekėjams dienos arba nuo paskelbimo apie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priimtus sprendimus dienos, jei VPĮ nenumato reikalavimo raštu informuoti tiekėjus apie </w:t>
            </w:r>
            <w:r>
              <w:rPr>
                <w:rFonts w:eastAsia="Arial" w:cs="Times New Roman" w:ascii="Times New Roman" w:hAnsi="Times New Roman"/>
                <w:sz w:val="24"/>
                <w:szCs w:val="24"/>
              </w:rPr>
              <w:t xml:space="preserve"> perkančiosios organizacijos</w:t>
            </w:r>
            <w:r>
              <w:rPr>
                <w:rFonts w:cs="Times New Roman" w:ascii="Times New Roman" w:hAnsi="Times New Roman"/>
                <w:sz w:val="24"/>
                <w:szCs w:val="24"/>
              </w:rPr>
              <w:t xml:space="preserve"> priimtus sprendimus;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15 (penkiolika) dienų nuo pranešimo išsiuntimo tiekėjams dienos, jeigu šis pranešimas nebuvo siunčiamas elektroninėmis priemonėmis.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6 (šešias) darbo dienas nuo pretenzijos gavimo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Jeigu perkančioji organizacija per nustatytą terminą neišnagrinėja jai pateiktos pretenzijos, tiekėjas turi teisę pateikti prašymą ar pareikšti ieškinį teismui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negali sudaryti sutarties anksčiau kaip po</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Netaikoma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color w:val="000000"/>
              </w:rPr>
            </w:pPr>
            <w:r>
              <w:rPr>
                <w:rFonts w:cs="Times New Roman" w:ascii="Times New Roman" w:hAnsi="Times New Roman"/>
                <w:color w:val="000000"/>
                <w:sz w:val="24"/>
                <w:szCs w:val="24"/>
              </w:rPr>
              <w:t xml:space="preserve">Jeigu </w:t>
            </w:r>
            <w:r>
              <w:rPr>
                <w:rFonts w:cs="Times New Roman" w:ascii="Times New Roman" w:hAnsi="Times New Roman"/>
                <w:iCs/>
                <w:color w:val="000000"/>
                <w:sz w:val="24"/>
                <w:szCs w:val="24"/>
              </w:rPr>
              <w:t>suinteresuotas dalyvis paprašys perkančiosios organizacijos pateikti laimėjusį pasiūlymą</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color w:val="000000"/>
              </w:rPr>
            </w:pPr>
            <w:r>
              <w:rPr>
                <w:rFonts w:cs="Times New Roman" w:ascii="Times New Roman" w:hAnsi="Times New Roman"/>
                <w:i/>
                <w:iCs/>
                <w:color w:val="000000"/>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pPr>
              <w:pStyle w:val="Normal"/>
              <w:spacing w:lineRule="auto" w:line="240" w:before="0" w:after="0"/>
              <w:jc w:val="both"/>
              <w:rPr>
                <w:rFonts w:ascii="Times New Roman" w:hAnsi="Times New Roman" w:cs="Times New Roman"/>
                <w:i/>
                <w:i/>
                <w:iCs/>
                <w:color w:val="000000"/>
                <w:sz w:val="24"/>
                <w:szCs w:val="24"/>
              </w:rPr>
            </w:pPr>
            <w:r>
              <w:rPr>
                <w:rFonts w:cs="Times New Roman" w:ascii="Times New Roman" w:hAnsi="Times New Roman"/>
                <w:i/>
                <w:iCs/>
                <w:color w:val="000000"/>
                <w:sz w:val="24"/>
                <w:szCs w:val="24"/>
              </w:rPr>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tabs>
          <w:tab w:val="clear" w:pos="1296"/>
          <w:tab w:val="left" w:pos="2977" w:leader="none"/>
        </w:tabs>
        <w:spacing w:lineRule="atLeast" w:line="2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before="0" w:after="0"/>
        <w:rPr>
          <w:rFonts w:ascii="Times New Roman" w:hAnsi="Times New Roman" w:eastAsia="Calibri" w:cs="Times New Roman"/>
          <w:sz w:val="24"/>
          <w:szCs w:val="24"/>
        </w:rPr>
      </w:pPr>
      <w:r>
        <w:rPr>
          <w:rFonts w:eastAsia="Calibri"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0070C0"/>
          <w:sz w:val="24"/>
          <w:szCs w:val="24"/>
        </w:rPr>
      </w:pPr>
      <w:bookmarkStart w:id="45" w:name="_Toc196987785"/>
      <w:bookmarkStart w:id="46" w:name="_Ref38899023"/>
      <w:bookmarkStart w:id="47" w:name="_Ref38885053"/>
      <w:bookmarkStart w:id="48" w:name="_Ref38541068"/>
      <w:bookmarkStart w:id="49" w:name="_Ref38539939"/>
      <w:r>
        <w:rPr>
          <w:rFonts w:eastAsia="Calibri" w:cs="Times New Roman" w:ascii="Times New Roman" w:hAnsi="Times New Roman"/>
          <w:color w:val="0070C0"/>
          <w:sz w:val="24"/>
          <w:szCs w:val="24"/>
        </w:rPr>
        <w:t>Pirkimo sąlygų 2 priedas „Techninė specifikacija“</w:t>
      </w:r>
      <w:bookmarkEnd w:id="45"/>
      <w:bookmarkEnd w:id="46"/>
      <w:bookmarkEnd w:id="47"/>
      <w:bookmarkEnd w:id="48"/>
      <w:bookmarkEnd w:id="49"/>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r>
    </w:p>
    <w:p>
      <w:pPr>
        <w:pStyle w:val="Paragraph"/>
        <w:numPr>
          <w:ilvl w:val="0"/>
          <w:numId w:val="0"/>
        </w:numPr>
        <w:spacing w:lineRule="auto" w:line="360" w:beforeAutospacing="0" w:before="0" w:afterAutospacing="0" w:after="0"/>
        <w:ind w:hanging="0" w:left="360"/>
        <w:jc w:val="both"/>
        <w:rPr>
          <w:rFonts w:ascii="Times New Roman" w:hAnsi="Times New Roman" w:eastAsia="Times New Roman" w:cs="Times New Roman"/>
          <w:lang w:val="lt-LT"/>
        </w:rPr>
      </w:pPr>
      <w:r>
        <w:rPr/>
      </w:r>
    </w:p>
    <w:p>
      <w:pPr>
        <w:pStyle w:val="ListParagraph"/>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ListParagraph"/>
        <w:spacing w:lineRule="auto" w:line="360" w:before="0" w:after="0"/>
        <w:contextualSpacing/>
        <w:jc w:val="center"/>
        <w:rPr>
          <w:rFonts w:ascii="Times New Roman" w:hAnsi="Times New Roman" w:eastAsia="Times New Roman" w:cs="Times New Roman"/>
          <w:color w:themeColor="text1" w:val="000000"/>
          <w:lang w:val="lt-LT"/>
        </w:rPr>
      </w:pPr>
      <w:r>
        <w:rPr/>
      </w:r>
    </w:p>
    <w:p>
      <w:pPr>
        <w:pStyle w:val="Normal"/>
        <w:spacing w:lineRule="auto" w:line="240" w:before="0" w:after="0"/>
        <w:ind w:hanging="360" w:left="360"/>
        <w:jc w:val="right"/>
        <w:rPr>
          <w:rFonts w:ascii="Times New Roman" w:hAnsi="Times New Roman" w:eastAsia="Times New Roman" w:cs="Times New Roman"/>
          <w:color w:themeColor="text1" w:val="000000"/>
          <w:lang w:val="lt-LT"/>
        </w:rPr>
      </w:pPr>
      <w:r>
        <w:rPr>
          <w:rStyle w:val="Eop"/>
          <w:rFonts w:eastAsia="Times New Roman" w:cs="Times New Roman" w:ascii="Times New Roman" w:hAnsi="Times New Roman"/>
          <w:color w:themeColor="text1" w:val="000000"/>
          <w:lang w:val="lt-LT"/>
        </w:rPr>
        <w:t> </w:t>
      </w:r>
    </w:p>
    <w:p>
      <w:pPr>
        <w:pStyle w:val="Normal"/>
        <w:spacing w:lineRule="auto" w:line="24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TECHNINĖ SPECIFIKACIJA</w:t>
      </w:r>
      <w:r>
        <w:rPr>
          <w:rStyle w:val="Eop"/>
          <w:rFonts w:eastAsia="Times New Roman" w:cs="Times New Roman" w:ascii="Times New Roman" w:hAnsi="Times New Roman"/>
          <w:color w:themeColor="text1" w:val="000000"/>
          <w:lang w:val="lt-LT"/>
        </w:rPr>
        <w:t> </w:t>
      </w:r>
    </w:p>
    <w:p>
      <w:pPr>
        <w:pStyle w:val="Normal"/>
        <w:spacing w:lineRule="auto" w:line="240" w:before="0" w:after="0"/>
        <w:ind w:hanging="360" w:left="360"/>
        <w:jc w:val="center"/>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Normal"/>
        <w:spacing w:lineRule="auto" w:line="24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TUESI.LT VIEŠINIMAS: ŽENKLO ATRIBUTIKOS GAMYBA IR SKLAIDA</w:t>
      </w:r>
    </w:p>
    <w:p>
      <w:pPr>
        <w:pStyle w:val="Normal"/>
        <w:spacing w:lineRule="auto" w:line="240" w:before="0" w:after="0"/>
        <w:ind w:hanging="360" w:left="360"/>
        <w:jc w:val="center"/>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Normal"/>
        <w:spacing w:lineRule="auto" w:line="24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I SKYRIUS</w:t>
      </w:r>
    </w:p>
    <w:p>
      <w:pPr>
        <w:pStyle w:val="Normal"/>
        <w:spacing w:lineRule="auto" w:line="24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BENDROSIOS NUOSTATOS</w:t>
      </w:r>
    </w:p>
    <w:p>
      <w:pPr>
        <w:pStyle w:val="Normal"/>
        <w:spacing w:lineRule="auto" w:line="240" w:before="0" w:after="0"/>
        <w:ind w:hanging="360" w:left="360"/>
        <w:jc w:val="both"/>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ListParagraph"/>
        <w:numPr>
          <w:ilvl w:val="0"/>
          <w:numId w:val="2"/>
        </w:numPr>
        <w:spacing w:lineRule="auto" w:line="240" w:before="0" w:after="0"/>
        <w:ind w:hanging="360" w:left="360"/>
        <w:contextualSpacing/>
        <w:jc w:val="both"/>
        <w:rPr>
          <w:rStyle w:val="Normaltextrun"/>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color w:themeColor="text1" w:val="000000"/>
          <w:lang w:val="lt-LT"/>
        </w:rPr>
        <w:t>Perkančioji organizacija – Biudžetinė įstaiga Higienos institutas, kodas 111958286, Studentų g. 45A, 08107 Vilnius (toliau – PO). </w:t>
      </w:r>
    </w:p>
    <w:p>
      <w:pPr>
        <w:pStyle w:val="ListParagraph"/>
        <w:numPr>
          <w:ilvl w:val="0"/>
          <w:numId w:val="2"/>
        </w:numPr>
        <w:spacing w:lineRule="auto" w:line="240" w:before="0" w:after="0"/>
        <w:ind w:hanging="360" w:left="360"/>
        <w:contextualSpacing/>
        <w:jc w:val="both"/>
        <w:rPr>
          <w:rStyle w:val="Normaltextrun"/>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color w:themeColor="text1" w:val="000000"/>
          <w:lang w:val="lt-LT"/>
        </w:rPr>
        <w:t xml:space="preserve">Pirkimas skirtas įgyvendinti projekto 09-025-P-0001 „Psichikos sveikatos stiprinimas, stigmatizavimo mažinimas, savižudybių prevencija Vidurio, vakarų Lietuvos ir Sostinės regione“ </w:t>
      </w:r>
      <w:r>
        <w:rPr>
          <w:rFonts w:eastAsia="Times New Roman" w:cs="Times New Roman" w:ascii="Times New Roman" w:hAnsi="Times New Roman"/>
          <w:color w:themeColor="text1" w:val="000000"/>
          <w:lang w:val="lt-LT"/>
        </w:rPr>
        <w:t>veiklą 3.3. „Savižudybių prevencijos sklaidos vystymui paremti ir (ar) informacijai skleisti skirtos interneto svetainės ir prekinio ženklo palaikymas, viešinimas, plėtojimas“.</w:t>
      </w:r>
    </w:p>
    <w:p>
      <w:pPr>
        <w:pStyle w:val="ListParagraph"/>
        <w:numPr>
          <w:ilvl w:val="0"/>
          <w:numId w:val="2"/>
        </w:numPr>
        <w:spacing w:lineRule="auto" w:line="240" w:before="0" w:after="0"/>
        <w:ind w:hanging="360" w:left="360"/>
        <w:contextualSpacing/>
        <w:jc w:val="both"/>
        <w:rPr>
          <w:rStyle w:val="Normaltextrun"/>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color w:themeColor="text1" w:val="000000"/>
          <w:lang w:val="lt-LT"/>
        </w:rPr>
        <w:t xml:space="preserve">Pirkimo objektas – </w:t>
      </w:r>
      <w:r>
        <w:rPr>
          <w:rFonts w:eastAsia="Times New Roman" w:cs="Times New Roman" w:ascii="Times New Roman" w:hAnsi="Times New Roman"/>
          <w:color w:themeColor="text1" w:val="000000"/>
        </w:rPr>
        <w:t>Tuesi.lt viešinimas: ženklo atributikos gamyba ir sklaida</w:t>
      </w:r>
      <w:r>
        <w:rPr>
          <w:rStyle w:val="Normaltextrun"/>
          <w:rFonts w:eastAsia="Times New Roman" w:cs="Times New Roman" w:ascii="Times New Roman" w:hAnsi="Times New Roman"/>
          <w:color w:themeColor="text1" w:val="000000"/>
          <w:lang w:val="lt-LT"/>
        </w:rPr>
        <w:t>.</w:t>
      </w:r>
    </w:p>
    <w:p>
      <w:pPr>
        <w:pStyle w:val="ListParagraph"/>
        <w:numPr>
          <w:ilvl w:val="0"/>
          <w:numId w:val="2"/>
        </w:numPr>
        <w:spacing w:lineRule="auto" w:line="240" w:before="0" w:after="0"/>
        <w:ind w:hanging="360" w:left="36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 xml:space="preserve">Tiekėjas ir PO įsipareigoja skirti po kontaktinį asmenį, su kuriuo būtų derinami su pirkimu susiję klausimai. Susirašinėjimas sutarties vykdymo klausimais vykdomas elektroniniu paštu.  </w:t>
      </w:r>
    </w:p>
    <w:p>
      <w:pPr>
        <w:pStyle w:val="ListParagraph"/>
        <w:numPr>
          <w:ilvl w:val="0"/>
          <w:numId w:val="2"/>
        </w:numPr>
        <w:spacing w:lineRule="auto" w:line="240" w:before="0" w:after="0"/>
        <w:ind w:hanging="360" w:left="36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Sutarties galiojimo trukmė – 12 mėnesių nuo sutarties įsigaliojimo dienos.</w:t>
      </w:r>
    </w:p>
    <w:p>
      <w:pPr>
        <w:pStyle w:val="ListParagraph"/>
        <w:spacing w:lineRule="auto" w:line="240" w:before="0" w:after="0"/>
        <w:ind w:hanging="360" w:left="36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r>
    </w:p>
    <w:p>
      <w:pPr>
        <w:pStyle w:val="Normal"/>
        <w:spacing w:lineRule="auto" w:line="24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II SKYRIUS</w:t>
      </w:r>
      <w:r>
        <w:rPr>
          <w:rStyle w:val="Eop"/>
          <w:rFonts w:eastAsia="Times New Roman" w:cs="Times New Roman" w:ascii="Times New Roman" w:hAnsi="Times New Roman"/>
          <w:color w:themeColor="text1" w:val="000000"/>
          <w:lang w:val="lt-LT"/>
        </w:rPr>
        <w:t> </w:t>
      </w:r>
    </w:p>
    <w:p>
      <w:pPr>
        <w:pStyle w:val="Normal"/>
        <w:spacing w:lineRule="auto" w:line="240" w:before="0" w:after="0"/>
        <w:ind w:hanging="360" w:left="360"/>
        <w:jc w:val="center"/>
        <w:rPr>
          <w:rStyle w:val="Normaltextrun"/>
          <w:rFonts w:ascii="Times New Roman" w:hAnsi="Times New Roman" w:eastAsia="Times New Roman" w:cs="Times New Roman"/>
          <w:b/>
          <w:bCs/>
          <w:color w:themeColor="text1" w:val="000000"/>
          <w:lang w:val="lt-LT"/>
        </w:rPr>
      </w:pPr>
      <w:r>
        <w:rPr>
          <w:rStyle w:val="Normaltextrun"/>
          <w:rFonts w:eastAsia="Times New Roman" w:cs="Times New Roman" w:ascii="Times New Roman" w:hAnsi="Times New Roman"/>
          <w:b/>
          <w:bCs/>
          <w:color w:themeColor="text1" w:val="000000"/>
          <w:lang w:val="lt-LT"/>
        </w:rPr>
        <w:t>REIKALAVIMAI ATRIBUTIKAI</w:t>
      </w:r>
    </w:p>
    <w:p>
      <w:pPr>
        <w:pStyle w:val="Normal"/>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color w:themeColor="text1" w:val="000000"/>
          <w:lang w:val="lt-LT"/>
        </w:rPr>
      </w:pPr>
      <w:r>
        <w:rPr>
          <w:rFonts w:eastAsia="Times New Roman" w:cs="Times New Roman"/>
          <w:color w:themeColor="text1" w:val="000000"/>
          <w:lang w:val="lt-LT"/>
        </w:rPr>
        <w:t>Prekės gaminamos pagal PO poreikį, nurodomą PO atskirame (-uose) užsakyme (-uose) pateikiamame (-uose) el. paštu ar kitomis Šalims priimtinomis komunikacijos priemonėmis.</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color w:themeColor="text1" w:val="000000"/>
          <w:lang w:val="lt-LT"/>
        </w:rPr>
        <w:t xml:space="preserve">Visa užsakoma atributika turi remtis prekės ženklo „Tu esi“ stiliaus knyga: </w:t>
      </w:r>
      <w:hyperlink r:id="rId6">
        <w:r>
          <w:rPr>
            <w:rStyle w:val="Hyperlink"/>
            <w:rFonts w:eastAsia="Times New Roman" w:cs="Times New Roman"/>
            <w:lang w:val="lt-LT"/>
          </w:rPr>
          <w:t>http://bit.ly/3Gu2C7m</w:t>
        </w:r>
      </w:hyperlink>
      <w:r>
        <w:rPr>
          <w:rFonts w:eastAsia="Times New Roman" w:cs="Times New Roman"/>
          <w:color w:themeColor="text1" w:val="000000"/>
          <w:lang w:val="lt-LT"/>
        </w:rPr>
        <w:t xml:space="preserve"> ir vadovautis stiliaus knygoje pateiktais nurodymais. </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color w:themeColor="text1" w:val="000000"/>
          <w:lang w:val="lt-LT"/>
        </w:rPr>
        <w:t>Ant visų gaminių turi būti prekės ženklo „Tu esi“ logotipo spauda. Turi būti užtikrintas viešinimo ženklų ilgaamžiškumas, t. y., atsparumas vandens bei trinties poveikiui.</w:t>
      </w:r>
    </w:p>
    <w:p>
      <w:pPr>
        <w:pStyle w:val="Paragraph"/>
        <w:numPr>
          <w:ilvl w:val="0"/>
          <w:numId w:val="2"/>
        </w:numPr>
        <w:spacing w:beforeAutospacing="0" w:before="0" w:afterAutospacing="0" w:after="0"/>
        <w:ind w:hanging="360" w:left="360"/>
        <w:jc w:val="both"/>
        <w:rPr>
          <w:rStyle w:val="Normaltextrun"/>
          <w:rFonts w:ascii="Times New Roman" w:hAnsi="Times New Roman" w:eastAsia="Times New Roman" w:cs="Times New Roman"/>
          <w:color w:themeColor="text1" w:val="000000"/>
          <w:lang w:val="lt-LT"/>
        </w:rPr>
      </w:pPr>
      <w:r>
        <w:rPr>
          <w:rStyle w:val="Normaltextrun"/>
          <w:rFonts w:eastAsia="Times New Roman" w:cs="Times New Roman"/>
          <w:color w:themeColor="text1" w:val="000000"/>
          <w:lang w:val="lt-LT"/>
        </w:rPr>
        <w:t>Į pasiūlymo kainą turi būti įskaičiuota dizaino kūrimo (logotipo integravimas) ir prekių pristatymo paslauga.</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color w:themeColor="text1" w:val="000000"/>
          <w:lang w:val="lt-LT"/>
        </w:rPr>
      </w:pPr>
      <w:r>
        <w:rPr>
          <w:rFonts w:eastAsia="Times New Roman" w:cs="Times New Roman"/>
          <w:color w:themeColor="text1" w:val="000000"/>
          <w:lang w:val="lt-LT"/>
        </w:rPr>
        <w:t>Pagal poreikį su prekių kokybe susiję klausimai aptariami PO ir Tiekėjo  nuotolinių susitikimų metu.</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color w:themeColor="text1" w:val="000000"/>
          <w:lang w:val="lt-LT"/>
        </w:rPr>
      </w:pPr>
      <w:r>
        <w:rPr>
          <w:rFonts w:eastAsia="Times New Roman" w:cs="Times New Roman"/>
          <w:color w:themeColor="text1" w:val="000000"/>
          <w:lang w:val="lt-LT"/>
        </w:rPr>
        <w:t xml:space="preserve">Užsakomos atributikos preliminarūs kiekiai vienetais nurodyti šioje lentelėje:  </w:t>
      </w:r>
    </w:p>
    <w:tbl>
      <w:tblPr>
        <w:tblStyle w:val="Lentelstinklelis"/>
        <w:tblW w:w="9240" w:type="dxa"/>
        <w:jc w:val="left"/>
        <w:tblInd w:w="97" w:type="dxa"/>
        <w:tblLayout w:type="fixed"/>
        <w:tblCellMar>
          <w:top w:w="0" w:type="dxa"/>
          <w:left w:w="90" w:type="dxa"/>
          <w:bottom w:w="0" w:type="dxa"/>
          <w:right w:w="90" w:type="dxa"/>
        </w:tblCellMar>
        <w:tblLook w:firstRow="0" w:noVBand="1" w:lastRow="0" w:firstColumn="1" w:lastColumn="0" w:noHBand="1" w:val="0680"/>
      </w:tblPr>
      <w:tblGrid>
        <w:gridCol w:w="6509"/>
        <w:gridCol w:w="2730"/>
      </w:tblGrid>
      <w:tr>
        <w:trPr>
          <w:trHeight w:val="300" w:hRule="atLeast"/>
        </w:trPr>
        <w:tc>
          <w:tcPr>
            <w:tcW w:w="6509" w:type="dxa"/>
            <w:tcBorders>
              <w:top w:val="single" w:sz="6" w:space="0" w:color="000000"/>
              <w:left w:val="single" w:sz="6" w:space="0" w:color="000000"/>
            </w:tcBorders>
            <w:shd w:color="auto" w:fill="DAE8F8" w:val="clear"/>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kern w:val="0"/>
                <w:sz w:val="24"/>
                <w:szCs w:val="24"/>
                <w:lang w:val="lt-LT" w:eastAsia="ja-JP" w:bidi="ar-SA"/>
              </w:rPr>
              <w:t>Prekė</w:t>
            </w:r>
          </w:p>
        </w:tc>
        <w:tc>
          <w:tcPr>
            <w:tcW w:w="2730" w:type="dxa"/>
            <w:tcBorders>
              <w:top w:val="single" w:sz="6" w:space="0" w:color="000000"/>
              <w:right w:val="single" w:sz="6" w:space="0" w:color="000000"/>
            </w:tcBorders>
            <w:shd w:color="auto" w:fill="DAE8F8" w:val="clear"/>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kern w:val="0"/>
                <w:sz w:val="24"/>
                <w:szCs w:val="24"/>
                <w:lang w:val="lt-LT" w:eastAsia="ja-JP" w:bidi="ar-SA"/>
              </w:rPr>
              <w:t>Preliminarus kiekis (vnt.)</w:t>
            </w:r>
          </w:p>
        </w:tc>
      </w:tr>
      <w:tr>
        <w:trPr>
          <w:trHeight w:val="300" w:hRule="atLeast"/>
        </w:trPr>
        <w:tc>
          <w:tcPr>
            <w:tcW w:w="6509" w:type="dxa"/>
            <w:tcBorders>
              <w:lef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Daugkartinis maišelis</w:t>
            </w:r>
          </w:p>
        </w:tc>
        <w:tc>
          <w:tcPr>
            <w:tcW w:w="2730" w:type="dxa"/>
            <w:tcBorders>
              <w:righ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600</w:t>
            </w:r>
          </w:p>
        </w:tc>
      </w:tr>
      <w:tr>
        <w:trPr>
          <w:trHeight w:val="300" w:hRule="atLeast"/>
        </w:trPr>
        <w:tc>
          <w:tcPr>
            <w:tcW w:w="6509" w:type="dxa"/>
            <w:tcBorders>
              <w:lef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Termo puodelis</w:t>
            </w:r>
          </w:p>
        </w:tc>
        <w:tc>
          <w:tcPr>
            <w:tcW w:w="2730" w:type="dxa"/>
            <w:tcBorders>
              <w:righ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w:t>
            </w:r>
          </w:p>
        </w:tc>
      </w:tr>
      <w:tr>
        <w:trPr>
          <w:trHeight w:val="300" w:hRule="atLeast"/>
        </w:trPr>
        <w:tc>
          <w:tcPr>
            <w:tcW w:w="6509" w:type="dxa"/>
            <w:tcBorders>
              <w:lef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Gertuvė</w:t>
            </w:r>
          </w:p>
        </w:tc>
        <w:tc>
          <w:tcPr>
            <w:tcW w:w="2730" w:type="dxa"/>
            <w:tcBorders>
              <w:righ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w:t>
            </w:r>
          </w:p>
        </w:tc>
      </w:tr>
      <w:tr>
        <w:trPr>
          <w:trHeight w:val="300" w:hRule="atLeast"/>
        </w:trPr>
        <w:tc>
          <w:tcPr>
            <w:tcW w:w="6509" w:type="dxa"/>
            <w:tcBorders>
              <w:lef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Spalvą keičiantis puodelis</w:t>
            </w:r>
          </w:p>
        </w:tc>
        <w:tc>
          <w:tcPr>
            <w:tcW w:w="2730" w:type="dxa"/>
            <w:tcBorders>
              <w:righ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w:t>
            </w:r>
          </w:p>
        </w:tc>
      </w:tr>
      <w:tr>
        <w:trPr>
          <w:trHeight w:val="300" w:hRule="atLeast"/>
        </w:trPr>
        <w:tc>
          <w:tcPr>
            <w:tcW w:w="6509" w:type="dxa"/>
            <w:tcBorders>
              <w:lef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Belaidis išmaniojo telefono įkroviklis</w:t>
            </w:r>
          </w:p>
        </w:tc>
        <w:tc>
          <w:tcPr>
            <w:tcW w:w="2730" w:type="dxa"/>
            <w:tcBorders>
              <w:righ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200</w:t>
            </w:r>
          </w:p>
        </w:tc>
      </w:tr>
      <w:tr>
        <w:trPr>
          <w:trHeight w:val="300" w:hRule="atLeast"/>
        </w:trPr>
        <w:tc>
          <w:tcPr>
            <w:tcW w:w="6509" w:type="dxa"/>
            <w:tcBorders>
              <w:lef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Kuprinė kompiuteriui</w:t>
            </w:r>
          </w:p>
        </w:tc>
        <w:tc>
          <w:tcPr>
            <w:tcW w:w="2730" w:type="dxa"/>
            <w:tcBorders>
              <w:righ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150</w:t>
            </w:r>
          </w:p>
        </w:tc>
      </w:tr>
      <w:tr>
        <w:trPr>
          <w:trHeight w:val="300" w:hRule="atLeast"/>
        </w:trPr>
        <w:tc>
          <w:tcPr>
            <w:tcW w:w="6509" w:type="dxa"/>
            <w:tcBorders>
              <w:lef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Kojinės</w:t>
            </w:r>
          </w:p>
        </w:tc>
        <w:tc>
          <w:tcPr>
            <w:tcW w:w="2730" w:type="dxa"/>
            <w:tcBorders>
              <w:righ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650</w:t>
            </w:r>
          </w:p>
        </w:tc>
      </w:tr>
      <w:tr>
        <w:trPr>
          <w:trHeight w:val="300" w:hRule="atLeast"/>
        </w:trPr>
        <w:tc>
          <w:tcPr>
            <w:tcW w:w="6509" w:type="dxa"/>
            <w:tcBorders>
              <w:left w:val="single" w:sz="6" w:space="0" w:color="000000"/>
              <w:bottom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Atšvaitas</w:t>
            </w:r>
          </w:p>
        </w:tc>
        <w:tc>
          <w:tcPr>
            <w:tcW w:w="2730" w:type="dxa"/>
            <w:tcBorders>
              <w:bottom w:val="single" w:sz="6" w:space="0" w:color="000000"/>
              <w:right w:val="single" w:sz="6" w:space="0" w:color="000000"/>
            </w:tcBorders>
          </w:tcPr>
          <w:p>
            <w:pPr>
              <w:pStyle w:val="Normal"/>
              <w:widowControl/>
              <w:suppressAutoHyphens w:val="true"/>
              <w:spacing w:lineRule="auto" w:line="24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3000</w:t>
            </w:r>
          </w:p>
        </w:tc>
      </w:tr>
    </w:tbl>
    <w:p>
      <w:pPr>
        <w:pStyle w:val="Paragraph"/>
        <w:spacing w:beforeAutospacing="0" w:before="0" w:afterAutospacing="0" w:after="0"/>
        <w:ind w:hanging="360" w:left="360"/>
        <w:jc w:val="both"/>
        <w:rPr>
          <w:rFonts w:ascii="Times New Roman" w:hAnsi="Times New Roman" w:eastAsia="Times New Roman" w:cs="Times New Roman"/>
          <w:color w:themeColor="text1" w:val="000000"/>
          <w:lang w:val="lt-LT"/>
        </w:rPr>
      </w:pPr>
      <w:r>
        <w:rPr>
          <w:rFonts w:eastAsia="Times New Roman" w:cs="Times New Roman"/>
          <w:color w:themeColor="text1" w:val="000000"/>
          <w:lang w:val="lt-LT"/>
        </w:rPr>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b/>
          <w:bCs/>
          <w:lang w:val="lt-LT"/>
        </w:rPr>
        <w:t xml:space="preserve">Daugkartinis maišelis. </w:t>
      </w:r>
      <w:r>
        <w:rPr>
          <w:rFonts w:eastAsia="Times New Roman" w:cs="Times New Roman"/>
          <w:lang w:val="lt-LT"/>
        </w:rPr>
        <w:t>Aprašymas: daugkartinio naudojimo maišelis, pagamintas iš tvarių medžiagų, skirtas kasdieniam naudojimui. Medžiaga: 100% ekologiška arba perdirbta medvilnė. Medžiagos tankis turi būti ne mažesnis nei 220 g/m², kad užtikrintų maišelio ilgaamžiškumą ir atsparumą. Medžiaga turi turėti tai patvirtinančius sertifikatus (pvz., GOTS, OCS arba lygiavertį). Išmatavimai: ne mažesni nei 38 cm (plotis) x 42 cm (aukštis). Rankenos: turi turėti dvi ilgas rankenas (dirželius), kurių bendras ilgis yra ne trumpesnis nei 60 cm, kad maišelį būtų patogu nešioti ant peties. Rankenos turi būti pagamintos iš tos pačios medžiagos kaip ir maišelis bei tvirtai prisiūtos (pvz., kryžminiu dygsniu) prie korpuso, kad atlaikytų didesnį svorį. Priežiūra: medžiaga turi būti tinkama skalbti automatinėje skalbimo mašinoje iki 40°C temperatūroje. Logotipas spausdinamas ant vienos maišelio pusės, šilkografijos būdu, užima ne daugiau nei 30 proc. gaminio ploto. Spalva ir dizainas derinami su PO.</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b/>
          <w:bCs/>
          <w:lang w:val="lt-LT"/>
        </w:rPr>
        <w:t>Termo puodelis.</w:t>
      </w:r>
      <w:r>
        <w:rPr>
          <w:rFonts w:eastAsia="Times New Roman" w:cs="Times New Roman"/>
          <w:lang w:val="lt-LT"/>
        </w:rPr>
        <w:t xml:space="preserve"> Aprašymas: kokybiškas, sandarus ir ilgaamžis termo puodelis, skirtas tiek karštiems, tiek šaltiems gėrimams laikyti. Talpa: nuo 450 ml iki 500 ml. Išmatavimai: aukštis – iki 20 cm, skersmuo – iki 8 cm, kad puodelis tilptų į standartinius automobilio puodelių laikiklius. Korpusas: dvigubos sienelės, pagamintos iš maistinio nerūdijančio plieno viduje ir išorėje. Nepralaidus dangtelio dizainas, užtikrinantis patikimą apsaugą nuo išsiliejimo. Temperatūros išlaikymas: išlaiko skysčio temperatūrą (tiek karštą, tiek šaltą) ne trumpiau nei 4 valandas. Dangtelis: atsukamas, su patogia atidaroma anga gėrimui, leidžiančia gerti neatidarius viso dangtelio. Anga turi būti sandariai uždaroma, kad apsaugotų nuo pratekėjimo. Priežiūra: puodelis turi būti lengvai valomas rankomis. Logotipas spausdinamas graviruojant lazeriu arba tampografijos būdu, užima ne daugiau nei 40 proc. gaminio ploto. Spalva ir dizainas derinami su PO. PO turi teisę nemokamai išbandyti 2 (dviejų) skirtingų pasirinktų gaminių pavyzdžius prieš pateikdama užsakymą Tiekėjui.</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Style w:val="Normaltextrun"/>
          <w:rFonts w:eastAsia="Times New Roman" w:cs="Times New Roman"/>
          <w:b/>
          <w:bCs/>
          <w:color w:themeColor="text1" w:val="000000"/>
          <w:lang w:val="lt-LT"/>
        </w:rPr>
        <w:t xml:space="preserve">Gertuvė. </w:t>
      </w:r>
      <w:r>
        <w:rPr>
          <w:rStyle w:val="Normaltextrun"/>
          <w:rFonts w:eastAsia="Times New Roman" w:cs="Times New Roman"/>
          <w:color w:themeColor="text1" w:val="000000"/>
          <w:lang w:val="lt-LT"/>
        </w:rPr>
        <w:t xml:space="preserve">Talpa 500-1200 ml. </w:t>
      </w:r>
      <w:r>
        <w:rPr>
          <w:rFonts w:eastAsia="Times New Roman" w:cs="Times New Roman"/>
          <w:lang w:val="lt-LT"/>
        </w:rPr>
        <w:t>Aprašymas: daugkartinio naudojimo gertuvė, skirta vandeniui ir kitiems šaltiems gėrimams, pagaminta iš saugių ir patvarių medžiagų. Talpa: 500-1200 ml. Dangtelis: sandarus, užsukamas dangtelis su patogia gėrimo anga (pvz., atlenkiamu kandikliu, sportiniu kamšteliu ar plačia anga). Ergonomiška forma, patogi laikyti rankoje. Gali turėti matavimo skalę skysčio kiekiui sekti. Priežiūra: turi būti tinkama plauti indaplovėje arba lengvai valoma rankomis. Logotipas spausdinamas šilkografijos, UV spaudos arba tampografijos būdu, užima ne daugiau nei 40 proc. gaminio ploto. Spalva ir dizainas derinami su PO.</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b/>
          <w:bCs/>
          <w:lang w:val="lt-LT"/>
        </w:rPr>
        <w:t xml:space="preserve">Spalvą keičiantis puodelis. </w:t>
      </w:r>
      <w:r>
        <w:rPr>
          <w:rFonts w:eastAsia="Times New Roman" w:cs="Times New Roman"/>
          <w:lang w:val="lt-LT"/>
        </w:rPr>
        <w:t>Aprašymas: keramikinis puodelis su danga, kuri pasikeičia (atsiranda arba pasikeičia paveikslėlis/užrašas) užpylus karštu skysčiu. Talpa: standartinė, apie 300-350 ml. Danga: padengtas specialia termo jautria danga, kuri reaguoja į karštį (temperatūrai pakilus virš 45-50°C). Pradinė spalva (šalto puodelio) turi būti vientisa (pvz., juoda, mėlyna). Dizainas: ant puodelio bus dedamas individualus dizainas, kuris atsiranda paveikus karščiui. Dizainas turi būti ryškus, aiškus ir ilgaamžis. Logotipas spausdinamas sublimacijos būdu, užima ne daugiau nei 30 proc. gaminio ploto. Spalva ir dizainas derinami su PO.</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b/>
          <w:bCs/>
          <w:color w:themeColor="text1" w:val="000000"/>
          <w:lang w:val="lt-LT"/>
        </w:rPr>
        <w:t>Belaidis išmaniojo telefono įkroviklis.</w:t>
      </w:r>
      <w:r>
        <w:rPr>
          <w:rFonts w:eastAsia="Times New Roman" w:cs="Times New Roman"/>
          <w:color w:themeColor="text1" w:val="000000"/>
          <w:lang w:val="lt-LT"/>
        </w:rPr>
        <w:t xml:space="preserve"> </w:t>
      </w:r>
      <w:r>
        <w:rPr>
          <w:rFonts w:eastAsia="Times New Roman" w:cs="Times New Roman"/>
          <w:lang w:val="lt-LT"/>
        </w:rPr>
        <w:t>Aprašymas: universalus belaidis įkroviklis, suderinamas su populiariausiais išmaniaisiais telefonais, palaikančiais belaidžio įkrovimo funkciją. Standartas: turi palaikyti universalų Qi belaidžio įkrovimo standartą. Galia: įkrovimo galia – ne mažesnė nei 10W. Dizainas: plonas, kompaktiškas dizainas. Paviršius, ant kurio dedamas telefonas, turi būti padengtas neslystančia medžiaga (pvz., guma, silikonu), kad apsaugotų telefoną nuo nuslydimo. Saugumas: turi turėti integruotas apsaugos funkcijas (nuo perkaitimo, viršįtampio, trumpojo jungimo ir svetimkūnių aptikimo). Indikatorius: turi turėti LED indikatorių, rodantį įkrovimo būseną (pvz., budėjimo režimas, įkrovimas, įkrovimo pabaiga). Komplektacija: turi būti pateikiamas su maitinimo laidu (USB-A į USB-C arba lygiavertis). Logotipas spausdinamas UV spaudos, tampografijos arba graviravimo būdu, yra visada matomas, kai įrenginys nenaudojamas, užima iki 40 proc. įkraunančio paviršiaus ploto. Spalva ir dizainas derinami su PO.</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Style w:val="Normaltextrun"/>
          <w:rFonts w:eastAsia="Times New Roman" w:cs="Times New Roman"/>
          <w:b/>
          <w:bCs/>
          <w:color w:themeColor="text1" w:val="000000"/>
          <w:lang w:val="lt-LT"/>
        </w:rPr>
        <w:t>Kuprinė kompiuteriui.</w:t>
      </w:r>
      <w:r>
        <w:rPr>
          <w:rStyle w:val="Normaltextrun"/>
          <w:rFonts w:eastAsia="Times New Roman" w:cs="Times New Roman"/>
          <w:color w:themeColor="text1" w:val="000000"/>
          <w:lang w:val="lt-LT"/>
        </w:rPr>
        <w:t xml:space="preserve"> </w:t>
      </w:r>
      <w:r>
        <w:rPr>
          <w:rFonts w:eastAsia="Times New Roman" w:cs="Times New Roman"/>
          <w:lang w:val="lt-LT"/>
        </w:rPr>
        <w:t>Aprašymas: funkcionali ir patvari kuprinė, skirta saugiai transportuoti nešiojamąjį kompiuterį ir kitus asmeninius daiktus. Talpa: ne mažesnė nei 18 litrų. Kompiuterio skyrius: turi turėti atskirą, paminkštintą skyrių, skirtą nešiojamajam kompiuteriui, kurio ekrano įstrižainė yra iki 15,6 colių. Medžiaga: pagaminta iš vandeniui ir trinčiai atsparios medžiagos: poliesterio, nailono ar lygiavertės medžiagos. Skyriai: be kompiuterio skyriaus, turi turėti bent vieną pagrindinį skyrių dokumentams ir daiktams bei papildomą priekinę kišenę smulkiems daiktams. Gali turėti šonines kišenes gertuvei ar skėčiui. Nugarėlė ir petnešos: ergonomiška, paminkštinta nugarėlė su oro cirkuliacijos sistema. Reguliuojamo ilgio, paminkštintos petnešos. Papildomos funkcijos: gali turėti integruotą USB jungtį išorinei baterijai prijungti, slaptą kišenę nugarinėje dalyje vertingiems daiktams. Logotipas spausdinamas DTF (Direct to Film), termo spaudos arba šilkografijos būdu, užima ne daugiau nei 30 proc. gaminio ploto. Spalva ir dizainas derinami su PO.</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Style w:val="Normaltextrun"/>
          <w:rFonts w:eastAsia="Times New Roman" w:cs="Times New Roman"/>
          <w:b/>
          <w:bCs/>
          <w:color w:themeColor="text1" w:val="000000"/>
          <w:lang w:val="lt-LT"/>
        </w:rPr>
        <w:t>Kojinės.</w:t>
      </w:r>
      <w:r>
        <w:rPr>
          <w:rStyle w:val="Normaltextrun"/>
          <w:rFonts w:eastAsia="Times New Roman" w:cs="Times New Roman"/>
          <w:color w:themeColor="text1" w:val="000000"/>
          <w:lang w:val="lt-LT"/>
        </w:rPr>
        <w:t xml:space="preserve"> </w:t>
      </w:r>
      <w:r>
        <w:rPr>
          <w:rFonts w:eastAsia="Times New Roman" w:cs="Times New Roman"/>
          <w:lang w:val="lt-LT"/>
        </w:rPr>
        <w:t>Aprašymas: klasikinio modelio, kokybiškos ir patogios kojinės, skirtos kasdieniam nešiojimui. Sudėtis: medvilnė turi sudaryti ne mažiau 75%. Dydžiai: turi būti pateikiami standartiniai dydžių intervalai (35-38, 39-42, 46-46). Dydžių pasiskirstymas bus patikslintas užsakymo metu. Ilgis: standartinis ilgis (iki blauzdos vidurio). Elastinė juosta: plati ir patogi elastinė juosta viršuje, kuri gerai priglunda, bet neveržia. Logotipas išmezgamas horizontaliai arba vertikaliai, ant arba žemiau elastinės juostos, išorinėje (blauzdos) pusėje, užima iki 30 proc. gaminio ploto. Kiekviena kojinių pora turi būti supakuota į atskirą celofaninį maišelį. Abi kojinės vienodo dizaino. Spalva ir dizainas derinami su PO.</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lang w:val="lt-LT"/>
        </w:rPr>
      </w:pPr>
      <w:r>
        <w:rPr>
          <w:rStyle w:val="Normaltextrun"/>
          <w:rFonts w:eastAsia="Times New Roman" w:cs="Times New Roman"/>
          <w:b/>
          <w:bCs/>
          <w:color w:themeColor="text1" w:val="000000"/>
          <w:lang w:val="lt-LT"/>
        </w:rPr>
        <w:t>Atšvaitas.</w:t>
      </w:r>
      <w:r>
        <w:rPr>
          <w:rStyle w:val="Normaltextrun"/>
          <w:rFonts w:eastAsia="Times New Roman" w:cs="Times New Roman"/>
          <w:color w:themeColor="text1" w:val="000000"/>
          <w:lang w:val="lt-LT"/>
        </w:rPr>
        <w:t xml:space="preserve"> </w:t>
      </w:r>
      <w:r>
        <w:rPr>
          <w:rFonts w:eastAsia="Times New Roman" w:cs="Times New Roman"/>
          <w:lang w:val="lt-LT"/>
        </w:rPr>
        <w:t>Aprašymas: pakabinamas atšvaitas su metaline grandinėle, skirtas matomumui tamsiu paros metu padidinti ir saugumui užtikrinti. Forma ir dydis: apvali forma, skersmuo ne mažesnis nei 55 mm. Medžiaga: pagamintas iš aukštos kokybės reflektyvios (šviesą atspindinčios) kietos medžiagos. Logotipas spausdinamas tampografijos arba šilkografijos būdu ant išorinės atšvaito pusės, užima iki 40 proc. šviesą atspindinčio ploto. Spalva ir dizainas derinami su PO.</w:t>
      </w:r>
    </w:p>
    <w:p>
      <w:pPr>
        <w:pStyle w:val="Paragraph"/>
        <w:spacing w:beforeAutospacing="0" w:before="0" w:afterAutospacing="0" w:after="0"/>
        <w:jc w:val="both"/>
        <w:rPr>
          <w:rFonts w:ascii="Times New Roman" w:hAnsi="Times New Roman" w:eastAsia="Times New Roman" w:cs="Times New Roman"/>
          <w:lang w:val="lt-LT"/>
        </w:rPr>
      </w:pPr>
      <w:r>
        <w:rPr>
          <w:rFonts w:eastAsia="Times New Roman" w:cs="Times New Roman"/>
          <w:lang w:val="lt-LT"/>
        </w:rPr>
      </w:r>
    </w:p>
    <w:p>
      <w:pPr>
        <w:pStyle w:val="Normal"/>
        <w:spacing w:lineRule="auto" w:line="240" w:before="0" w:after="0"/>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Normal"/>
        <w:spacing w:lineRule="auto" w:line="240" w:before="0" w:after="0"/>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Normal"/>
        <w:spacing w:lineRule="auto" w:line="240" w:before="0" w:after="0"/>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lang w:val="lt-LT"/>
        </w:rPr>
        <w:t>III SKYRIUS</w:t>
      </w:r>
    </w:p>
    <w:p>
      <w:pPr>
        <w:pStyle w:val="Normal"/>
        <w:spacing w:lineRule="auto" w:line="240" w:before="0" w:after="0"/>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lang w:val="lt-LT"/>
        </w:rPr>
        <w:t>PREKIŲ DIZAINO MAKETŲ DERINIMO DARBAI, SĄLYGOS IR TERMINAI</w:t>
      </w:r>
    </w:p>
    <w:p>
      <w:pPr>
        <w:pStyle w:val="Normal"/>
        <w:spacing w:lineRule="auto" w:line="240" w:before="0" w:after="0"/>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 xml:space="preserve">Prekių pristatymo vieta – Higienos institutas,  Studentų g. 45A, 08107 Vilnius. </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 xml:space="preserve">Tiekėjas per 10 darbo dienų nuo sutarties įsigaliojimo dienos privalo PO kontaktiniam asmeniui el. paštu pateikti atributikai pasirinktų gaminių variantus derinimui. Prekės turi atitikti techninės specifikacijos reikalavimus. PO kontaktinis asmuo per 5 darbo dienas nuo gauto sąrašo patvirtina prekes arba paprašo jas pakeisti, jei prekės neatitinka techninėje specifikacijoje numatytų reikalavimų.  </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 xml:space="preserve"> </w:t>
      </w:r>
      <w:r>
        <w:rPr>
          <w:rFonts w:eastAsia="Times New Roman" w:cs="Times New Roman" w:ascii="Times New Roman" w:hAnsi="Times New Roman"/>
          <w:color w:themeColor="text1" w:val="000000"/>
          <w:lang w:val="lt-LT"/>
        </w:rPr>
        <w:t>PO kontaktiniam asmeniui patvirtinus prekes, Tiekėjas su PO kontaktiniu asmeniu derina dizaino maketus, įskaitant, bet neapsiribojant logotipo dydžiu, spalva, spaudos būdu ir ženklinimo vieta. Kiekvienai prekei Tiekėjas pasiūlo ne mažiau 3 maketų, iš kurių PO kontaktinis asmuo išsirenka vieną maketą, pagal kurį bus vykdoma gamyba.</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 xml:space="preserve"> </w:t>
      </w:r>
      <w:r>
        <w:rPr>
          <w:rFonts w:eastAsia="Times New Roman" w:cs="Times New Roman" w:ascii="Times New Roman" w:hAnsi="Times New Roman"/>
          <w:color w:themeColor="text1" w:val="000000"/>
          <w:lang w:val="lt-LT"/>
        </w:rPr>
        <w:t xml:space="preserve">PO ne vėliau kaip per 2 darbo dienas nuo maketų pateikimo dienos raštu pateikia Tiekėjui patvirtinimą dėl pasirinkto maketo arba motyvuotą paaiškinimą, kuriame išdėstomi nustatyti trūkumai ir nurodomi protingi, bet ne ilgesni kaip 3 darbo dienų terminai pašalinti maketų trūkumus ir/ar pateikti naujus maketus.  </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 xml:space="preserve">PO patvirtinus kiekvienos prekės maketus, Tiekėjui teikiamas prekių užsakymas dėl prekių kiekio gamybos. Tiekėjas užtikrina, kad prekės bus pagamintos ir pristatytos ne vėliau nei per 30 darbo dienų nuo </w:t>
      </w:r>
      <w:r>
        <w:rPr>
          <w:rFonts w:eastAsia="Times New Roman" w:cs="Times New Roman" w:ascii="Times New Roman" w:hAnsi="Times New Roman"/>
          <w:color w:themeColor="text1" w:val="000000"/>
          <w:lang w:val="lt-LT"/>
        </w:rPr>
        <w:t>užsakymo pateikimo</w:t>
      </w:r>
      <w:r>
        <w:rPr>
          <w:rFonts w:eastAsia="Times New Roman" w:cs="Times New Roman" w:ascii="Times New Roman" w:hAnsi="Times New Roman"/>
          <w:color w:themeColor="text1" w:val="000000"/>
          <w:lang w:val="lt-LT"/>
        </w:rPr>
        <w:t>.</w:t>
      </w:r>
    </w:p>
    <w:p>
      <w:pPr>
        <w:pStyle w:val="ListParagraph"/>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r>
    </w:p>
    <w:p>
      <w:pPr>
        <w:pStyle w:val="ListParagraph"/>
        <w:spacing w:lineRule="auto" w:line="240" w:before="0" w:after="0"/>
        <w:contextualSpacing/>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lang w:val="lt-LT"/>
        </w:rPr>
        <w:t>IV SKYRIUS</w:t>
      </w:r>
    </w:p>
    <w:p>
      <w:pPr>
        <w:pStyle w:val="ListParagraph"/>
        <w:spacing w:lineRule="auto" w:line="240" w:before="0" w:after="0"/>
        <w:contextualSpacing/>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lang w:val="lt-LT"/>
        </w:rPr>
        <w:t>KOKYBĖS REIKALAVIMAI</w:t>
      </w:r>
    </w:p>
    <w:p>
      <w:pPr>
        <w:pStyle w:val="ListParagraph"/>
        <w:spacing w:lineRule="auto" w:line="240" w:before="0" w:after="0"/>
        <w:contextualSpacing/>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Visos prekės turi būti naujos, švarios, tinkamai supakuotos saugiam transportavimui.</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 xml:space="preserve">PO kontaktinis asmuo, gavęs prekių su atributika siuntą, per 5 darbo dienas patikrina prekes ir įvertinęs jų atitikimą elektroniniam maketų dizainui bei techninėje specifikacijoje nurodytiems kriterijams, priima sprendimą dėl sutarties įvykdymo. Apie sprendimą PO informuoja tiekėją el. laišku. </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Neatitiktimi laikoma bet kuris nukrypimas nuo skyriuje „REIKALAVIMAI ATRIBUTIKAI“ nurodytų techninių reikalavimų, ženklinimo ir maketavimo reikalavimų arba matomi broko požymiai (spalvų neatitikimas patvirtintam maketui, spaudos išsiliejimai, poslinkis, nusitrynimai, defektai, siūlių iširimas, deformacijos ir pan.). Leistina broko riba – 0 vnt.</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Nustačius neatitiktį, Tiekėjas privalo per 10 darbo dienų be papildomo apmokėjimo pakeisti netinkamos kokybės vienetus tinkamos kokybės arba pašalinti trūkumus, arba grąžinti sumokėtą kainą už neatitinkančius vienetus. Visos su keitimu ir grąžinimu susijusios išlaidos tenka Tiekėjui.</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Nustačius prekių atitiktį šiai techninei specifikacijai, įforminamas priėmimo – perdavimo aktas. Šis aktas neatima teisės reikšti pretenzijas dėl paslėptų trūkumų, jeigu per 3 mėnesius nuo akto pasirašymo dienos pasirodytų prekių defektai.</w:t>
      </w:r>
    </w:p>
    <w:p>
      <w:pPr>
        <w:pStyle w:val="ListParagraph"/>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r>
    </w:p>
    <w:p>
      <w:pPr>
        <w:pStyle w:val="Normal"/>
        <w:spacing w:lineRule="auto" w:line="240" w:before="0" w:after="0"/>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t>V SKYRIUS</w:t>
      </w:r>
    </w:p>
    <w:p>
      <w:pPr>
        <w:pStyle w:val="Normal"/>
        <w:spacing w:lineRule="auto" w:line="240" w:before="0" w:after="0"/>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t>APLINKOSAUGINIAI REIKALAVIMAI</w:t>
      </w:r>
    </w:p>
    <w:p>
      <w:pPr>
        <w:pStyle w:val="Normal"/>
        <w:spacing w:lineRule="auto" w:line="240" w:before="0" w:after="0"/>
        <w:jc w:val="both"/>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Žalieji reikalavimai tekstilės gaminiams nustatyti Aplinkos ministro 2011 m. birželio 28 d. įsakymu Nr. D1-508 patvirtinto aprašo IX skyriuje.</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Termo puodeliai turi būti pagaminti iš perdirbamų medžiagų (nerūdijantis plienas, stiklas, PP plastikas). Izoliacijos sluoksnis be HFC dujų ar kitų ozoną ardančių medžiagų.</w:t>
      </w:r>
    </w:p>
    <w:p>
      <w:pPr>
        <w:pStyle w:val="ListParagraph"/>
        <w:numPr>
          <w:ilvl w:val="0"/>
          <w:numId w:val="2"/>
        </w:numPr>
        <w:spacing w:lineRule="auto" w:line="24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Prekė, kuri tiekiama ar perduodama antrinėje pakuotėje, turi atitikti pakuotėms nustatytus minimalius aplinkos apsaugos kriterijus (2 priedo II skyrius „Pakuotės: turi būti laikytinos perdirbamosiomis pakuotėmis pagal Lietuvos Respublikos mokesčio už aplinkos teršimą įstatymo nuostatas.“), nebent tai prieštarauja higienos normoms.</w:t>
      </w:r>
    </w:p>
    <w:p>
      <w:pPr>
        <w:pStyle w:val="Normal"/>
        <w:spacing w:lineRule="auto" w:line="240" w:before="0" w:after="0"/>
        <w:ind w:hanging="360" w:left="360"/>
        <w:jc w:val="both"/>
        <w:rPr>
          <w:rStyle w:val="Normaltextrun"/>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Normal"/>
        <w:spacing w:lineRule="auto" w:line="240" w:before="0" w:after="0"/>
        <w:ind w:hanging="360" w:left="360"/>
        <w:jc w:val="center"/>
        <w:rPr>
          <w:rStyle w:val="Normaltextrun"/>
          <w:rFonts w:ascii="Times New Roman" w:hAnsi="Times New Roman" w:eastAsia="Times New Roman" w:cs="Times New Roman"/>
          <w:b/>
          <w:bCs/>
          <w:color w:themeColor="text1" w:val="000000"/>
          <w:lang w:val="lt-LT"/>
        </w:rPr>
      </w:pPr>
      <w:r>
        <w:rPr>
          <w:rStyle w:val="Normaltextrun"/>
          <w:rFonts w:eastAsia="Times New Roman" w:cs="Times New Roman" w:ascii="Times New Roman" w:hAnsi="Times New Roman"/>
          <w:b/>
          <w:bCs/>
          <w:color w:themeColor="text1" w:val="000000"/>
          <w:lang w:val="lt-LT"/>
        </w:rPr>
        <w:t>VI SKYRIUS</w:t>
      </w:r>
    </w:p>
    <w:p>
      <w:pPr>
        <w:pStyle w:val="Paragraph"/>
        <w:spacing w:beforeAutospacing="0" w:before="0" w:afterAutospacing="0" w:after="0"/>
        <w:ind w:hanging="360" w:left="360"/>
        <w:jc w:val="center"/>
        <w:rPr>
          <w:rFonts w:ascii="Times New Roman" w:hAnsi="Times New Roman" w:eastAsia="Times New Roman" w:cs="Times New Roman"/>
          <w:color w:val="00000A"/>
          <w:lang w:val="lt-LT"/>
        </w:rPr>
      </w:pPr>
      <w:r>
        <w:rPr>
          <w:rFonts w:eastAsia="Times New Roman" w:cs="Times New Roman"/>
          <w:b/>
          <w:bCs/>
          <w:color w:val="00000A"/>
          <w:lang w:val="lt-LT"/>
        </w:rPr>
        <w:t>REIKALAVIMAI ATSISKAITYMO TVARKAI</w:t>
      </w:r>
      <w:r>
        <w:rPr>
          <w:rFonts w:eastAsia="Times New Roman" w:cs="Times New Roman"/>
          <w:color w:val="00000A"/>
          <w:lang w:val="lt-LT"/>
        </w:rPr>
        <w:t> </w:t>
      </w:r>
    </w:p>
    <w:p>
      <w:pPr>
        <w:pStyle w:val="Normal"/>
        <w:spacing w:lineRule="auto" w:line="240" w:before="0" w:after="0"/>
        <w:ind w:hanging="360" w:left="360"/>
        <w:jc w:val="both"/>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color w:val="00000A"/>
          <w:lang w:val="lt-LT"/>
        </w:rPr>
      </w:pPr>
      <w:r>
        <w:rPr>
          <w:rFonts w:eastAsia="Times New Roman" w:cs="Times New Roman"/>
          <w:color w:val="00000A"/>
          <w:lang w:val="lt-LT"/>
        </w:rPr>
        <w:t>Prekės bus perkamos pagal faktinį PO poreikį. PO neįsipareigoja išnaudoti visos pirkimui skirtų lėšų sumos.</w:t>
      </w:r>
    </w:p>
    <w:p>
      <w:pPr>
        <w:pStyle w:val="Paragraph"/>
        <w:numPr>
          <w:ilvl w:val="0"/>
          <w:numId w:val="2"/>
        </w:numPr>
        <w:spacing w:beforeAutospacing="0" w:before="0" w:afterAutospacing="0" w:after="0"/>
        <w:ind w:hanging="360" w:left="360"/>
        <w:jc w:val="both"/>
        <w:rPr>
          <w:rFonts w:ascii="Times New Roman" w:hAnsi="Times New Roman" w:eastAsia="Times New Roman" w:cs="Times New Roman"/>
          <w:color w:val="00000A"/>
          <w:lang w:val="lt-LT"/>
        </w:rPr>
      </w:pPr>
      <w:r>
        <w:rPr>
          <w:rFonts w:eastAsia="Times New Roman" w:cs="Times New Roman"/>
          <w:color w:val="00000A"/>
          <w:lang w:val="lt-LT"/>
        </w:rPr>
        <w:t>PO kaskart esant poreikiui pateikia užsakymą atsižvelgdama į sutarties likutį ir moka už faktiškai pristatytas prekes pagal abiejų Šalių patvirtintus prekių priėmimo perdavimo aktus ir jų pagrindu išrašytas sąskaitas.</w:t>
      </w:r>
    </w:p>
    <w:p>
      <w:pPr>
        <w:pStyle w:val="ListParagraph"/>
        <w:numPr>
          <w:ilvl w:val="0"/>
          <w:numId w:val="2"/>
        </w:numPr>
        <w:spacing w:lineRule="auto" w:line="240" w:before="0" w:after="0"/>
        <w:ind w:hanging="360" w:left="360"/>
        <w:contextualSpacing/>
        <w:jc w:val="both"/>
        <w:rPr>
          <w:rFonts w:ascii="Times New Roman" w:hAnsi="Times New Roman" w:eastAsia="Times New Roman" w:cs="Times New Roman"/>
          <w:color w:val="00000A"/>
          <w:lang w:val="lt-LT"/>
        </w:rPr>
      </w:pPr>
      <w:r>
        <w:rPr>
          <w:rStyle w:val="Normaltextrun"/>
          <w:rFonts w:eastAsia="Times New Roman" w:cs="Times New Roman" w:ascii="Times New Roman" w:hAnsi="Times New Roman"/>
          <w:color w:themeColor="text1" w:val="000000"/>
          <w:lang w:val="lt-LT"/>
        </w:rPr>
        <w:t xml:space="preserve">PO sumoka </w:t>
      </w:r>
      <w:r>
        <w:rPr>
          <w:rFonts w:eastAsia="Times New Roman" w:cs="Times New Roman" w:ascii="Times New Roman" w:hAnsi="Times New Roman"/>
          <w:color w:val="00000A"/>
          <w:lang w:val="lt-LT"/>
        </w:rPr>
        <w:t>Tiekėjui už prekes per 30 (trisdešimt) kalendorinių dienų nuo sąskaitos-faktūros gavimo dienos.</w:t>
      </w:r>
    </w:p>
    <w:p>
      <w:pPr>
        <w:pStyle w:val="Normal"/>
        <w:spacing w:lineRule="auto" w:line="240" w:before="0" w:after="0"/>
        <w:ind w:hanging="360" w:left="360"/>
        <w:jc w:val="both"/>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Paragraph"/>
        <w:spacing w:beforeAutospacing="0" w:before="0" w:afterAutospacing="0" w:after="0"/>
        <w:ind w:hanging="360" w:left="360"/>
        <w:jc w:val="center"/>
        <w:rPr>
          <w:rFonts w:ascii="Times New Roman" w:hAnsi="Times New Roman" w:eastAsia="Times New Roman" w:cs="Times New Roman"/>
          <w:b/>
          <w:bCs/>
          <w:color w:val="00000A"/>
          <w:lang w:val="lt-LT"/>
        </w:rPr>
      </w:pPr>
      <w:r>
        <w:rPr>
          <w:rFonts w:eastAsia="Times New Roman" w:cs="Times New Roman"/>
          <w:b/>
          <w:bCs/>
          <w:color w:val="00000A"/>
          <w:lang w:val="lt-LT"/>
        </w:rPr>
        <w:t>VII SKYRIUS</w:t>
      </w:r>
    </w:p>
    <w:p>
      <w:pPr>
        <w:pStyle w:val="Paragraph"/>
        <w:spacing w:beforeAutospacing="0" w:before="0" w:afterAutospacing="0" w:after="0"/>
        <w:ind w:hanging="360" w:left="360"/>
        <w:jc w:val="center"/>
        <w:rPr>
          <w:rFonts w:ascii="Times New Roman" w:hAnsi="Times New Roman" w:eastAsia="Times New Roman" w:cs="Times New Roman"/>
          <w:color w:val="00000A"/>
          <w:lang w:val="lt-LT"/>
        </w:rPr>
      </w:pPr>
      <w:r>
        <w:rPr>
          <w:rFonts w:eastAsia="Times New Roman" w:cs="Times New Roman"/>
          <w:b/>
          <w:bCs/>
          <w:color w:val="00000A"/>
          <w:lang w:val="lt-LT"/>
        </w:rPr>
        <w:t>ASMENS DUOMENŲ TVARKYMAS</w:t>
      </w:r>
    </w:p>
    <w:p>
      <w:pPr>
        <w:pStyle w:val="Normal"/>
        <w:spacing w:lineRule="auto" w:line="240" w:before="0" w:after="0"/>
        <w:ind w:hanging="360" w:left="360"/>
        <w:jc w:val="both"/>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Paragraph"/>
        <w:numPr>
          <w:ilvl w:val="0"/>
          <w:numId w:val="2"/>
        </w:numPr>
        <w:spacing w:before="280" w:after="280"/>
        <w:ind w:hanging="360" w:left="360"/>
        <w:jc w:val="both"/>
        <w:rPr>
          <w:rFonts w:ascii="Times New Roman" w:hAnsi="Times New Roman" w:eastAsia="Times New Roman" w:cs="Times New Roman"/>
          <w:color w:themeColor="text1" w:val="000000"/>
          <w:lang w:val="lt-LT"/>
        </w:rPr>
      </w:pPr>
      <w:r>
        <w:rPr/>
        <w:t xml:space="preserve">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Heading2"/>
        <w:spacing w:before="0" w:after="0"/>
        <w:ind w:left="5103"/>
        <w:rPr>
          <w:rFonts w:ascii="Times New Roman" w:hAnsi="Times New Roman" w:eastAsia="Calibri" w:cs="Times New Roman"/>
          <w:color w:val="0070C0"/>
          <w:sz w:val="24"/>
          <w:szCs w:val="24"/>
        </w:rPr>
      </w:pPr>
      <w:bookmarkStart w:id="50" w:name="_Toc196987786"/>
      <w:bookmarkStart w:id="51" w:name="_Ref38291496"/>
      <w:bookmarkStart w:id="52" w:name="_Ref38285444"/>
      <w:r>
        <w:rPr>
          <w:rFonts w:eastAsia="Calibri" w:cs="Times New Roman" w:ascii="Times New Roman" w:hAnsi="Times New Roman"/>
          <w:color w:val="0070C0"/>
          <w:sz w:val="24"/>
          <w:szCs w:val="24"/>
        </w:rPr>
        <w:t>Pirkimo sąlygų 3 priedas „Tiekėjų pašalinimo pagrindai“</w:t>
      </w:r>
      <w:bookmarkEnd w:id="50"/>
      <w:bookmarkEnd w:id="51"/>
      <w:bookmarkEnd w:id="52"/>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r>
    </w:p>
    <w:p>
      <w:pPr>
        <w:pStyle w:val="Subtitle"/>
        <w:spacing w:before="0" w:after="0"/>
        <w:jc w:val="center"/>
        <w:rPr>
          <w:rFonts w:ascii="Times New Roman" w:hAnsi="Times New Roman" w:cs="Times New Roman"/>
          <w:caps w:val="false"/>
          <w:smallCaps w:val="false"/>
          <w:color w:val="auto"/>
          <w:sz w:val="24"/>
          <w:szCs w:val="24"/>
        </w:rPr>
      </w:pPr>
      <w:r>
        <w:rPr>
          <w:rFonts w:cs="Times New Roman" w:ascii="Times New Roman" w:hAnsi="Times New Roman"/>
          <w:caps w:val="false"/>
          <w:smallCaps w:val="false"/>
          <w:color w:val="auto"/>
          <w:sz w:val="24"/>
          <w:szCs w:val="24"/>
        </w:rPr>
        <w:t>TIEKĖJŲ PAŠALINIMO PAGRINDAI</w:t>
      </w:r>
    </w:p>
    <w:p>
      <w:pPr>
        <w:pStyle w:val="Normal"/>
        <w:spacing w:before="0" w:after="0"/>
        <w:jc w:val="both"/>
        <w:rPr>
          <w:rFonts w:ascii="Times New Roman" w:hAnsi="Times New Roman" w:cs="Times New Roman"/>
          <w:color w:val="7030A0"/>
          <w:sz w:val="24"/>
          <w:szCs w:val="24"/>
        </w:rPr>
      </w:pPr>
      <w:r>
        <w:rPr>
          <w:rFonts w:cs="Times New Roman" w:ascii="Times New Roman" w:hAnsi="Times New Roman"/>
          <w:color w:val="7030A0"/>
          <w:sz w:val="24"/>
          <w:szCs w:val="24"/>
        </w:rPr>
      </w:r>
    </w:p>
    <w:p>
      <w:pPr>
        <w:pStyle w:val="NoSpacing"/>
        <w:numPr>
          <w:ilvl w:val="0"/>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Su pasiūlymu</w:t>
      </w:r>
      <w:r>
        <w:rPr>
          <w:rFonts w:cs="Times New Roman" w:ascii="Times New Roman" w:hAnsi="Times New Roman"/>
          <w:color w:val="00B050"/>
          <w:sz w:val="24"/>
          <w:szCs w:val="24"/>
        </w:rPr>
        <w:t xml:space="preserve"> </w:t>
      </w:r>
      <w:r>
        <w:rPr>
          <w:rFonts w:cs="Times New Roman" w:ascii="Times New Roman" w:hAnsi="Times New Roman"/>
          <w:sz w:val="24"/>
          <w:szCs w:val="24"/>
        </w:rPr>
        <w:t>teikiamas tik EBVPD. Perkančioji organizacija su pasiūlymu</w:t>
      </w:r>
      <w:r>
        <w:rPr>
          <w:rFonts w:cs="Times New Roman" w:ascii="Times New Roman" w:hAnsi="Times New Roman"/>
          <w:color w:val="00B050"/>
          <w:sz w:val="24"/>
          <w:szCs w:val="24"/>
        </w:rPr>
        <w:t xml:space="preserve"> </w:t>
      </w:r>
      <w:r>
        <w:rPr>
          <w:rFonts w:cs="Times New Roman" w:ascii="Times New Roman" w:hAnsi="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pPr>
        <w:pStyle w:val="NoSpacing"/>
        <w:numPr>
          <w:ilvl w:val="0"/>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 xml:space="preserve">Pašalinimo pagrindai taikomi tiekėjui (kai pasiūlymą teikia ūkio subjektų grupė – visiems tos grupės nariams) ir ūkio subjektams, kurių pajėgumais tiekėjas remiasi. </w:t>
      </w:r>
    </w:p>
    <w:p>
      <w:pPr>
        <w:pStyle w:val="NoSpacing"/>
        <w:numPr>
          <w:ilvl w:val="0"/>
          <w:numId w:val="14"/>
        </w:numPr>
        <w:ind w:firstLine="851" w:left="0"/>
        <w:jc w:val="both"/>
        <w:rPr>
          <w:rFonts w:ascii="Times New Roman" w:hAnsi="Times New Roman" w:eastAsia="Verdana" w:cs="Times New Roman"/>
          <w:sz w:val="24"/>
          <w:szCs w:val="24"/>
        </w:rPr>
      </w:pPr>
      <w:r>
        <w:rPr>
          <w:rFonts w:cs="Times New Roman" w:ascii="Times New Roman" w:hAnsi="Times New Roman"/>
          <w:color w:themeColor="text1"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eastAsia="Verdana" w:cs="Times New Roman" w:ascii="Times New Roman" w:hAnsi="Times New Roman"/>
          <w:color w:themeColor="text1" w:val="000000"/>
          <w:sz w:val="24"/>
          <w:szCs w:val="24"/>
        </w:rPr>
        <w:t xml:space="preserve">e nustatytų tiekėjo pašalinimo pagrindų, išskyrus VPĮ 46 straipsnio 10 dalyje nustatytus atvejus (tačiau atsižvelgiant į VPĮ 46 straipsnio 11 ir 12 dalių nuostatas). </w:t>
      </w:r>
    </w:p>
    <w:p>
      <w:pPr>
        <w:pStyle w:val="NoSpacing"/>
        <w:numPr>
          <w:ilvl w:val="0"/>
          <w:numId w:val="14"/>
        </w:numPr>
        <w:ind w:firstLine="851" w:left="0"/>
        <w:jc w:val="both"/>
        <w:rPr>
          <w:rFonts w:ascii="Times New Roman" w:hAnsi="Times New Roman" w:eastAsia="Verdana" w:cs="Times New Roman"/>
          <w:color w:themeColor="text1" w:val="000000"/>
          <w:sz w:val="24"/>
          <w:szCs w:val="24"/>
        </w:rPr>
      </w:pPr>
      <w:r>
        <w:rPr>
          <w:rFonts w:eastAsia="Verdana" w:cs="Times New Roman" w:ascii="Times New Roman" w:hAnsi="Times New Roman"/>
          <w:color w:themeColor="text1"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Spacing"/>
        <w:numPr>
          <w:ilvl w:val="0"/>
          <w:numId w:val="14"/>
        </w:numPr>
        <w:ind w:firstLine="851" w:left="0"/>
        <w:jc w:val="both"/>
        <w:rPr>
          <w:rFonts w:ascii="Times New Roman" w:hAnsi="Times New Roman" w:cs="Times New Roman"/>
          <w:sz w:val="24"/>
          <w:szCs w:val="24"/>
        </w:rPr>
      </w:pPr>
      <w:r>
        <w:rPr>
          <w:rFonts w:eastAsia="Verdana" w:cs="Times New Roman" w:ascii="Times New Roman"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cs="Times New Roman"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r>
          <w:rPr>
            <w:rStyle w:val="Hyperlink"/>
            <w:rFonts w:eastAsia="Calibri" w:cs="Times New Roman" w:ascii="Times New Roman" w:hAnsi="Times New Roman"/>
            <w:sz w:val="24"/>
            <w:szCs w:val="24"/>
          </w:rPr>
          <w:t>https://ec.europa.eu/tools/ecertis/</w:t>
        </w:r>
      </w:hyperlink>
      <w:r>
        <w:rPr>
          <w:rFonts w:cs="Times New Roman" w:ascii="Times New Roman" w:hAnsi="Times New Roman"/>
          <w:sz w:val="24"/>
          <w:szCs w:val="24"/>
        </w:rPr>
        <w:t xml:space="preserve">. </w:t>
      </w:r>
    </w:p>
    <w:p>
      <w:pPr>
        <w:pStyle w:val="NoSpacing"/>
        <w:numPr>
          <w:ilvl w:val="0"/>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Perkančioji organizacija nereikalauja iš tiekėjo pateikti dokumentų, patvirtinančių jo pašalinimo pagrindų nebuvimą, jeigu ji:</w:t>
      </w:r>
    </w:p>
    <w:p>
      <w:pPr>
        <w:pStyle w:val="NoSpacing"/>
        <w:numPr>
          <w:ilvl w:val="1"/>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pPr>
        <w:pStyle w:val="NoSpacing"/>
        <w:numPr>
          <w:ilvl w:val="1"/>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pPr>
        <w:pStyle w:val="NoSpacing"/>
        <w:ind w:firstLine="851"/>
        <w:jc w:val="both"/>
        <w:rPr>
          <w:rFonts w:ascii="Times New Roman" w:hAnsi="Times New Roman" w:cs="Times New Roman"/>
          <w:sz w:val="24"/>
          <w:szCs w:val="24"/>
        </w:rPr>
      </w:pPr>
      <w:r>
        <w:rPr>
          <w:rFonts w:cs="Times New Roman" w:ascii="Times New Roman" w:hAnsi="Times New Roman"/>
          <w:color w:val="00B050"/>
          <w:sz w:val="24"/>
          <w:szCs w:val="24"/>
        </w:rPr>
        <w:t xml:space="preserve">6¹. </w:t>
      </w:r>
      <w:r>
        <w:rPr>
          <w:rFonts w:cs="Times New Roman" w:ascii="Times New Roman" w:hAnsi="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Spacing"/>
        <w:numPr>
          <w:ilvl w:val="1"/>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priesaikos deklaracija;</w:t>
      </w:r>
    </w:p>
    <w:p>
      <w:pPr>
        <w:pStyle w:val="Normal"/>
        <w:spacing w:before="0" w:after="0"/>
        <w:ind w:firstLine="851"/>
        <w:jc w:val="both"/>
        <w:rPr>
          <w:rFonts w:ascii="Times New Roman" w:hAnsi="Times New Roman" w:cs="Times New Roman"/>
          <w:sz w:val="24"/>
          <w:szCs w:val="24"/>
        </w:rPr>
      </w:pPr>
      <w:r>
        <w:rPr>
          <w:rFonts w:cs="Times New Roman" w:ascii="Times New Roman" w:hAnsi="Times New Roman"/>
          <w:sz w:val="24"/>
          <w:szCs w:val="24"/>
        </w:rPr>
        <w:t>6.4.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646"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700"/>
        <w:gridCol w:w="3264"/>
        <w:gridCol w:w="1706"/>
        <w:gridCol w:w="4963"/>
        <w:gridCol w:w="13"/>
      </w:tblGrid>
      <w:tr>
        <w:trPr/>
        <w:tc>
          <w:tcPr>
            <w:tcW w:w="700"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Times New Roman" w:hAnsi="Times New Roman" w:cs="Times New Roman"/>
                <w:sz w:val="24"/>
                <w:szCs w:val="24"/>
              </w:rPr>
            </w:pPr>
            <w:r>
              <w:rPr>
                <w:rFonts w:cs="Times New Roman" w:ascii="Times New Roman" w:hAnsi="Times New Roman"/>
                <w:sz w:val="24"/>
                <w:szCs w:val="24"/>
              </w:rPr>
              <w:t>Eil. Nr.</w:t>
            </w:r>
          </w:p>
        </w:tc>
        <w:tc>
          <w:tcPr>
            <w:tcW w:w="326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sz w:val="24"/>
                <w:szCs w:val="24"/>
                <w:lang w:eastAsia="en-US"/>
              </w:rPr>
            </w:pPr>
            <w:r>
              <w:rPr>
                <w:rFonts w:cs="Times New Roman" w:ascii="Times New Roman" w:hAnsi="Times New Roman"/>
                <w:sz w:val="24"/>
                <w:szCs w:val="24"/>
              </w:rPr>
              <w:t>Tiekėjo pašalinimo pagrindai</w:t>
            </w:r>
          </w:p>
        </w:tc>
        <w:tc>
          <w:tcPr>
            <w:tcW w:w="170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eastAsia="Yu Mincho" w:cs="Times New Roman"/>
                <w:sz w:val="24"/>
                <w:szCs w:val="24"/>
              </w:rPr>
            </w:pPr>
            <w:r>
              <w:rPr>
                <w:rFonts w:eastAsia="Yu Mincho" w:cs="Times New Roman" w:ascii="Times New Roman" w:hAnsi="Times New Roman"/>
                <w:sz w:val="24"/>
                <w:szCs w:val="24"/>
              </w:rPr>
              <w:t>VPĮ straipsnis,  dalis, punktas bei EBVPD formos dalis pildymui</w:t>
            </w:r>
          </w:p>
        </w:tc>
        <w:tc>
          <w:tcPr>
            <w:tcW w:w="496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iCs/>
                <w:sz w:val="24"/>
                <w:szCs w:val="24"/>
                <w:lang w:eastAsia="en-US"/>
              </w:rPr>
            </w:pPr>
            <w:r>
              <w:rPr>
                <w:rFonts w:cs="Times New Roman" w:ascii="Times New Roman" w:hAnsi="Times New Roman"/>
                <w:sz w:val="24"/>
                <w:szCs w:val="24"/>
              </w:rPr>
              <w:t>Pašalinimo pagrindų nebuvimą įrodantys dokumentai</w:t>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10646" w:type="dxa"/>
            <w:gridSpan w:val="5"/>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Privalomi pašalinimo pagrindai pagal VPĮ 46 straipsnio 1 – 4 dalių nuostatas</w:t>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arba jo atsakingas asmuo, nurodytas VPĮ 46 straipsnio 2 dalies 2 punkte, nuteistas už šią nusikalstamą veiką: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1) dalyvavimą nusikalstamame susivienijime, jo organizavimą ar vadovavimą jam;</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2) kyšininkavimą, prekybą poveikiu, papirkimą;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4) nusikalstamą bankrotą;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5) teroristinį ir su teroristine veikla susijusį nusikaltimą;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6) nusikalstamu būdu gauto turto legalizavimą;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7) prekybą žmonėmis, vaiko pirkimą arba pardavimą;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Laikoma, kad tiekėjas arba jo atsakingas asmuo nuteistas už aukščiau nurodytą nusikalstamą veiką, kai dėl:</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sz w:val="24"/>
                <w:szCs w:val="24"/>
              </w:rPr>
            </w:pPr>
            <w:r>
              <w:rPr>
                <w:rFonts w:cs="Times New Roman" w:ascii="Times New Roman" w:hAnsi="Times New Roman"/>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VPĮ 46 straipsnio 1 dalis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A1-A6 punktai</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D1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Lietuvoje įsteigtų subjektų reikalaujama: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išrašo iš teismo sprendimo arba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Informatikos ir ryšių departamento prie Vidaus reikalų ministerijos pažymos, arba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4"/>
            </w:r>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color w:val="7030A0"/>
                <w:sz w:val="24"/>
                <w:szCs w:val="24"/>
              </w:rPr>
            </w:pPr>
            <w:r>
              <w:rPr>
                <w:rFonts w:cs="Times New Roman" w:ascii="Times New Roman" w:hAnsi="Times New Roman"/>
                <w:sz w:val="24"/>
                <w:szCs w:val="24"/>
              </w:rPr>
              <w:t xml:space="preserve">Nurodyti dokumentai turi būti išduoti ne anksčiau kaip 180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i/>
                <w:iCs/>
                <w:color w:themeColor="text1" w:val="000000"/>
                <w:sz w:val="24"/>
                <w:szCs w:val="24"/>
              </w:rPr>
              <w:t>Pavyzdys: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yra neatlikęs jam paskirtos baudžiamojo poveikio priemonės – uždraudimo juridiniam asmeniui dalyvauti viešuosiuose pirkimuose.</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VPĮ 46 straipsnio 2¹ dalis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lang w:eastAsia="en-US"/>
              </w:rPr>
              <w:t>EBVPD III dalies D2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sz w:val="24"/>
                <w:szCs w:val="24"/>
              </w:rPr>
            </w:pPr>
            <w:r>
              <w:rPr>
                <w:rFonts w:cs="Times New Roman" w:ascii="Times New Roman" w:hAnsi="Times New Roman"/>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Laikoma, kad tiekėjas nuteistas už aukščiau nurodytą nusikalstamą veiką, kai dėl:</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Tačiau ši nuostata netaikoma, jeigu:</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2) įsiskolinimo suma neviršija 50 Eur (penkiasdešimt eurų);</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3 dalis</w:t>
            </w:r>
          </w:p>
          <w:p>
            <w:pPr>
              <w:pStyle w:val="NoSpacing"/>
              <w:jc w:val="both"/>
              <w:rPr>
                <w:rFonts w:ascii="Times New Roman" w:hAnsi="Times New Roman" w:eastAsia="Arial" w:cs="Times New Roman"/>
                <w:sz w:val="24"/>
                <w:szCs w:val="24"/>
              </w:rPr>
            </w:pPr>
            <w:r>
              <w:rPr>
                <w:rFonts w:eastAsia="Arial"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Arial" w:cs="Times New Roman" w:ascii="Times New Roman" w:hAnsi="Times New Roman"/>
                <w:sz w:val="24"/>
                <w:szCs w:val="24"/>
              </w:rPr>
              <w:t>EBVPD III dalies B1 ir B2 punktai</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Lietuvoje įsteigtų subjektų reikalaujama:</w:t>
            </w:r>
          </w:p>
          <w:p>
            <w:pPr>
              <w:pStyle w:val="NoSpacing"/>
              <w:jc w:val="both"/>
              <w:rPr>
                <w:rFonts w:ascii="Times New Roman" w:hAnsi="Times New Roman" w:cs="Times New Roman"/>
                <w:sz w:val="24"/>
                <w:szCs w:val="24"/>
              </w:rPr>
            </w:pPr>
            <w:r>
              <w:rPr>
                <w:rFonts w:cs="Times New Roman" w:ascii="Times New Roman" w:hAnsi="Times New Roman"/>
                <w:sz w:val="24"/>
                <w:szCs w:val="24"/>
              </w:rPr>
              <w:t>1) Dėl įsipareigojimų, susijusių su mokesčių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sz w:val="24"/>
                <w:szCs w:val="24"/>
              </w:rPr>
              <w:t>prašoma:</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numPr>
                <w:ilvl w:val="0"/>
                <w:numId w:val="11"/>
              </w:numPr>
              <w:jc w:val="both"/>
              <w:rPr>
                <w:rFonts w:ascii="Times New Roman" w:hAnsi="Times New Roman" w:cs="Times New Roman"/>
                <w:sz w:val="24"/>
                <w:szCs w:val="24"/>
              </w:rPr>
            </w:pPr>
            <w:r>
              <w:rPr>
                <w:rFonts w:cs="Times New Roman" w:ascii="Times New Roman" w:hAnsi="Times New Roman"/>
                <w:sz w:val="24"/>
                <w:szCs w:val="24"/>
              </w:rPr>
              <w:t>išrašo iš teismo sprendimo (jei toks yra)</w:t>
            </w:r>
          </w:p>
          <w:p>
            <w:pPr>
              <w:pStyle w:val="NoSpacing"/>
              <w:numPr>
                <w:ilvl w:val="0"/>
                <w:numId w:val="11"/>
              </w:numPr>
              <w:jc w:val="both"/>
              <w:rPr>
                <w:rFonts w:ascii="Times New Roman" w:hAnsi="Times New Roman" w:cs="Times New Roman"/>
                <w:sz w:val="24"/>
                <w:szCs w:val="24"/>
              </w:rPr>
            </w:pPr>
            <w:r>
              <w:rPr>
                <w:rFonts w:cs="Times New Roman" w:ascii="Times New Roman" w:hAnsi="Times New Roman"/>
                <w:sz w:val="24"/>
                <w:szCs w:val="24"/>
              </w:rPr>
              <w:t>arba Valstybinės mokesčių inspekcijos prie Lietuvos Respublikos finansų ministerijos išduoto dokumento,</w:t>
            </w:r>
          </w:p>
          <w:p>
            <w:pPr>
              <w:pStyle w:val="NoSpacing"/>
              <w:numPr>
                <w:ilvl w:val="0"/>
                <w:numId w:val="10"/>
              </w:numPr>
              <w:jc w:val="both"/>
              <w:rPr>
                <w:rFonts w:ascii="Times New Roman" w:hAnsi="Times New Roman" w:cs="Times New Roman"/>
                <w:sz w:val="24"/>
                <w:szCs w:val="24"/>
              </w:rPr>
            </w:pPr>
            <w:r>
              <w:rPr>
                <w:rFonts w:cs="Times New Roman" w:ascii="Times New Roman" w:hAnsi="Times New Roman"/>
                <w:sz w:val="24"/>
                <w:szCs w:val="24"/>
              </w:rPr>
              <w:t>arba valstybės įmonės Registrų centro Lietuvos Respublikos Vyriausybės nustatyta tvarka išduoto dokumento, patvirtinančio jungtinius kompetentingų institucijų tvarkomus duomenis.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5"/>
            </w:r>
            <w:r>
              <w:rPr>
                <w:rFonts w:cs="Times New Roman" w:ascii="Times New Roman" w:hAnsi="Times New Roman"/>
                <w:sz w:val="24"/>
                <w:szCs w:val="24"/>
              </w:rPr>
              <w:t>.</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cs="Times New Roman"/>
                <w:i/>
                <w:i/>
                <w:iCs/>
                <w:color w:themeColor="text1" w:val="000000"/>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i/>
                <w:iCs/>
                <w:color w:themeColor="text1" w:val="000000"/>
                <w:sz w:val="24"/>
                <w:szCs w:val="24"/>
              </w:rPr>
              <w:t>Pavyzdys: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Times New Roman" w:hAnsi="Times New Roman" w:cs="Times New Roman"/>
                <w:i/>
                <w:i/>
                <w:iCs/>
                <w:color w:val="7030A0"/>
                <w:sz w:val="24"/>
                <w:szCs w:val="24"/>
              </w:rPr>
            </w:pPr>
            <w:r>
              <w:rPr>
                <w:rFonts w:cs="Times New Roman" w:ascii="Times New Roman" w:hAnsi="Times New Roman"/>
                <w:i/>
                <w:iCs/>
                <w:color w:val="7030A0"/>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2) Dėl įsipareigojimų, susijusių su socialinio draudimo įmokų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sz w:val="24"/>
                <w:szCs w:val="24"/>
              </w:rPr>
              <w:t>prašoma:</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r>
                <w:rPr>
                  <w:rStyle w:val="Hyperlink"/>
                  <w:rFonts w:cs="Times New Roman" w:ascii="Times New Roman" w:hAnsi="Times New Roman"/>
                  <w:sz w:val="24"/>
                  <w:szCs w:val="24"/>
                  <w:u w:val="single"/>
                </w:rPr>
                <w:t>http://draudejai.sodra.lt/draudeju_viesi_duomenys/</w:t>
              </w:r>
            </w:hyperlink>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atitinkamos užsienio šalies kompetentingos institucijos dokumento</w:t>
            </w:r>
            <w:r>
              <w:rPr>
                <w:rStyle w:val="FootnoteReference"/>
                <w:rFonts w:cs="Times New Roman" w:ascii="Times New Roman" w:hAnsi="Times New Roman"/>
                <w:sz w:val="24"/>
                <w:szCs w:val="24"/>
              </w:rPr>
              <w:footnoteReference w:id="6"/>
            </w:r>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i/>
                <w:i/>
                <w:iCs/>
                <w:color w:val="7030A0"/>
                <w:sz w:val="24"/>
                <w:szCs w:val="24"/>
              </w:rPr>
            </w:pPr>
            <w:r>
              <w:rPr>
                <w:rFonts w:cs="Times New Roman" w:ascii="Times New Roman" w:hAnsi="Times New Roman"/>
                <w:sz w:val="24"/>
                <w:szCs w:val="24"/>
              </w:rPr>
              <w:t xml:space="preserve">Nurodyti dokumentai turi būti  išduoti ne anksčiau kaip </w:t>
            </w:r>
            <w:r>
              <w:rPr>
                <w:rFonts w:cs="Times New Roman" w:ascii="Times New Roman" w:hAnsi="Times New Roman"/>
                <w:color w:val="00B050"/>
                <w:sz w:val="24"/>
                <w:szCs w:val="24"/>
              </w:rPr>
              <w:t>120</w:t>
            </w:r>
            <w:r>
              <w:rPr>
                <w:rFonts w:cs="Times New Roman" w:ascii="Times New Roman" w:hAnsi="Times New Roman"/>
                <w:sz w:val="24"/>
                <w:szCs w:val="24"/>
              </w:rPr>
              <w:t xml:space="preserve"> </w:t>
            </w:r>
            <w:r>
              <w:rPr>
                <w:rFonts w:cs="Times New Roman" w:ascii="Times New Roman" w:hAnsi="Times New Roman"/>
                <w:color w:val="00B050"/>
                <w:sz w:val="24"/>
                <w:szCs w:val="24"/>
              </w:rPr>
              <w:t>dienų</w:t>
            </w:r>
            <w:r>
              <w:rPr>
                <w:rFonts w:cs="Times New Roman" w:ascii="Times New Roman" w:hAnsi="Times New Roman"/>
                <w:sz w:val="24"/>
                <w:szCs w:val="24"/>
              </w:rPr>
              <w:t xml:space="preserve">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i/>
                <w:iCs/>
                <w:color w:themeColor="text1" w:val="000000"/>
                <w:sz w:val="24"/>
                <w:szCs w:val="24"/>
              </w:rPr>
              <w:t>Pavyzdys: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bookmarkStart w:id="53" w:name="_Hlk90887843"/>
            <w:bookmarkStart w:id="54" w:name="_Hlk90887843"/>
            <w:bookmarkEnd w:id="54"/>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1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C10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metu pateko į interesų konflikto situaciją, kaip apibrėžta VPĮ 21 straipsnyje, ir atitinkamos padėties negalima ištaisyti.</w:t>
            </w:r>
          </w:p>
          <w:p>
            <w:pPr>
              <w:pStyle w:val="NoSpacing"/>
              <w:jc w:val="both"/>
              <w:rPr>
                <w:rFonts w:ascii="Times New Roman" w:hAnsi="Times New Roman" w:cs="Times New Roman"/>
                <w:sz w:val="24"/>
                <w:szCs w:val="24"/>
              </w:rPr>
            </w:pPr>
            <w:r>
              <w:rPr>
                <w:rFonts w:cs="Times New Roman"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2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C12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Pažeista konkurencija, kaip nustatyta VPĮ 27 straipsnio 3 ir 4 dalyse, ir atitinkamos padėties negalima ištaisyti.</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3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C13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4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C15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Times New Roman" w:hAnsi="Times New Roman" w:cs="Times New Roman"/>
                <w:sz w:val="24"/>
                <w:szCs w:val="24"/>
              </w:rPr>
            </w:pPr>
            <w:hyperlink r:id="rId9">
              <w:r>
                <w:rPr>
                  <w:rStyle w:val="Hyperlink"/>
                  <w:rFonts w:cs="Times New Roman" w:ascii="Times New Roman" w:hAnsi="Times New Roman"/>
                  <w:sz w:val="24"/>
                  <w:szCs w:val="24"/>
                </w:rPr>
                <w:t>https://vpt.lrv.lt/lt/nuorodos/kiti-duomenys/powerbi/melaginga-informacija-pateikusiu-tiekeju-sarasas-3/</w:t>
              </w:r>
            </w:hyperlink>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5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C15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6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C14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0">
              <w:r>
                <w:rPr>
                  <w:rStyle w:val="Hyperlink"/>
                  <w:rFonts w:cs="Times New Roman" w:ascii="Times New Roman" w:hAnsi="Times New Roman"/>
                  <w:sz w:val="24"/>
                  <w:szCs w:val="24"/>
                </w:rPr>
                <w:t>https://vpt.lrv.lt/lt/nuorodos/kiti-duomenys/powerbi/nepatikimi-tiekejai-1/</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1">
              <w:r>
                <w:rPr>
                  <w:rStyle w:val="Hyperlink"/>
                  <w:rFonts w:cs="Times New Roman" w:ascii="Times New Roman" w:hAnsi="Times New Roman"/>
                  <w:sz w:val="24"/>
                  <w:szCs w:val="24"/>
                </w:rPr>
                <w:t>https://vpt.lrv.lt/lt/pasalinimo-pagrindai-1/nepatikimu-koncesininku-sarasas-1/nepatikimu-koncesininku-sarasas/</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p>
            <w:pPr>
              <w:pStyle w:val="NoSpacing"/>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 kai jis</w:t>
            </w:r>
            <w:bookmarkStart w:id="55" w:name="part_030e6c6c64ba4f96a23474e439d1b80c"/>
            <w:bookmarkEnd w:id="55"/>
            <w:r>
              <w:rPr>
                <w:rFonts w:cs="Times New Roman" w:ascii="Times New Roman" w:hAnsi="Times New Roman"/>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7 punkto a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C11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 xml:space="preserve">Iš Lietuvoje įsteigtų subjektų įrodančių dokumentų nereikalaujama. Užtenka pateikto EBVPD. </w:t>
            </w:r>
            <w:r>
              <w:rPr>
                <w:rFonts w:cs="Times New Roman"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2">
              <w:r>
                <w:rPr>
                  <w:rStyle w:val="Hyperlink"/>
                  <w:rFonts w:cs="Times New Roman" w:ascii="Times New Roman" w:hAnsi="Times New Roman"/>
                  <w:sz w:val="24"/>
                  <w:szCs w:val="24"/>
                  <w:u w:val="single"/>
                </w:rPr>
                <w:t>https://www.registrucentras.lt/jar/p/index.php</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t>paskelbtą informaciją, taip pat į šiame informaciniame pranešime pateiktą informaciją:</w:t>
            </w:r>
          </w:p>
          <w:p>
            <w:pPr>
              <w:pStyle w:val="NoSpacing"/>
              <w:jc w:val="both"/>
              <w:rPr>
                <w:rFonts w:ascii="Times New Roman" w:hAnsi="Times New Roman" w:cs="Times New Roman"/>
                <w:sz w:val="24"/>
                <w:szCs w:val="24"/>
              </w:rPr>
            </w:pPr>
            <w:hyperlink r:id="rId13">
              <w:r>
                <w:rPr>
                  <w:rStyle w:val="Hyperlink"/>
                  <w:rFonts w:cs="Times New Roman" w:ascii="Times New Roman" w:hAnsi="Times New Roman"/>
                  <w:sz w:val="24"/>
                  <w:szCs w:val="24"/>
                </w:rPr>
                <w:t>https://vpt.lrv.lt/lt/naujienos-3/finansiniu-ataskaitu-nepateikimas-gali-tapti-kliutimi-dalyvauti-viesuosiuose-pirkimuose/</w:t>
              </w:r>
            </w:hyperlink>
          </w:p>
          <w:p>
            <w:pPr>
              <w:pStyle w:val="NoSpacing"/>
              <w:jc w:val="both"/>
              <w:rPr>
                <w:rFonts w:ascii="Times New Roman" w:hAnsi="Times New Roman" w:cs="Times New Roman"/>
                <w:iCs/>
                <w:sz w:val="24"/>
                <w:szCs w:val="24"/>
              </w:rPr>
            </w:pPr>
            <w:r>
              <w:rPr>
                <w:rFonts w:cs="Times New Roman" w:ascii="Times New Roman" w:hAnsi="Times New Roman"/>
                <w:iCs/>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Tiekėjas yra padaręs rimtą profesinį pažeidimą, dėl kurio perkančioji organizacija abejoja tiekėjo sąžiningumu, </w:t>
            </w:r>
            <w:r>
              <w:rPr>
                <w:rFonts w:eastAsia="Times New Roman" w:cs="Times New Roman" w:ascii="Times New Roman" w:hAnsi="Times New Roman"/>
                <w:sz w:val="24"/>
                <w:szCs w:val="24"/>
              </w:rPr>
              <w:t xml:space="preserve"> kai jis (tiekėjas) neatitinka minimalių patikimo mokesčių mokėtojo kriterijų, nustatytų Lietuvos Respublikos mokesčių administravimo įstatymo 40</w:t>
            </w:r>
            <w:r>
              <w:rPr>
                <w:rFonts w:eastAsia="Times New Roman" w:cs="Times New Roman" w:ascii="Times New Roman" w:hAnsi="Times New Roman"/>
                <w:sz w:val="24"/>
                <w:szCs w:val="24"/>
                <w:vertAlign w:val="superscript"/>
              </w:rPr>
              <w:t>1</w:t>
            </w:r>
            <w:r>
              <w:rPr>
                <w:rFonts w:eastAsia="Times New Roman" w:cs="Times New Roman" w:ascii="Times New Roman" w:hAnsi="Times New Roman"/>
                <w:sz w:val="24"/>
                <w:szCs w:val="24"/>
              </w:rPr>
              <w:t xml:space="preserve"> straipsnio 1 dalyje.</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7 punkto b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4">
              <w:r>
                <w:rPr>
                  <w:rStyle w:val="Hyperlink"/>
                  <w:rFonts w:cs="Times New Roman" w:ascii="Times New Roman" w:hAnsi="Times New Roman"/>
                  <w:sz w:val="24"/>
                  <w:szCs w:val="24"/>
                  <w:u w:val="single"/>
                </w:rPr>
                <w:t>https://www.vmi.lt/evmi/mokesciu-moketoju-informacija</w:t>
              </w:r>
            </w:hyperlink>
            <w:r>
              <w:rPr>
                <w:rFonts w:cs="Times New Roman" w:ascii="Times New Roman" w:hAnsi="Times New Roman"/>
                <w:sz w:val="24"/>
                <w:szCs w:val="24"/>
              </w:rPr>
              <w:t xml:space="preserve"> skelbiamą informaciją.</w:t>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4"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w:t>
            </w:r>
            <w:r>
              <w:rPr>
                <w:rFonts w:eastAsia="Times New Roman" w:cs="Times New Roman" w:ascii="Times New Roman" w:hAnsi="Times New Roman"/>
                <w:sz w:val="24"/>
                <w:szCs w:val="24"/>
              </w:rPr>
              <w:t xml:space="preserve"> kai jis </w:t>
            </w:r>
            <w:r>
              <w:rPr>
                <w:rFonts w:cs="Times New Roman" w:ascii="Times New Roman" w:hAnsi="Times New Roman"/>
                <w:color w:themeColor="text1"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6"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7 punkto c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Priimant sprendimus dėl tiekėjo pašalinimo iš pirkimo procedūros šiame punkte nurodytu pašalinimo pagrindu, be kita ko, atsižvelgiama į nacionalinėje duomenų bazėje adresu:</w:t>
            </w:r>
          </w:p>
          <w:p>
            <w:pPr>
              <w:pStyle w:val="Normal"/>
              <w:spacing w:before="0" w:after="0"/>
              <w:rPr>
                <w:rFonts w:ascii="Times New Roman" w:hAnsi="Times New Roman" w:cs="Times New Roman"/>
                <w:iCs/>
                <w:sz w:val="24"/>
                <w:szCs w:val="24"/>
                <w:lang w:eastAsia="en-US"/>
              </w:rPr>
            </w:pPr>
            <w:hyperlink r:id="rId15">
              <w:r>
                <w:rPr>
                  <w:rStyle w:val="Hyperlink"/>
                  <w:rFonts w:cs="Times New Roman" w:ascii="Times New Roman" w:hAnsi="Times New Roman"/>
                  <w:sz w:val="24"/>
                  <w:szCs w:val="24"/>
                  <w:u w:val="single"/>
                </w:rPr>
                <w:t>https://kt.gov.lt/lt/atviri-duomenys/diskvalifikavimas-is-viesuju-pirkimu</w:t>
              </w:r>
            </w:hyperlink>
            <w:r>
              <w:rPr>
                <w:rFonts w:cs="Times New Roman" w:ascii="Times New Roman" w:hAnsi="Times New Roman"/>
                <w:sz w:val="24"/>
                <w:szCs w:val="24"/>
              </w:rPr>
              <w:t xml:space="preserve"> skelbiamą informaciją.</w:t>
            </w:r>
          </w:p>
        </w:tc>
        <w:tc>
          <w:tcPr>
            <w:tcW w:w="13" w:type="dxa"/>
            <w:tcBorders/>
            <w:tcMar>
              <w:left w:w="10" w:type="dxa"/>
              <w:right w:w="10" w:type="dxa"/>
            </w:tcMar>
          </w:tcPr>
          <w:p>
            <w:pPr>
              <w:pStyle w:val="Normal"/>
              <w:widowControl/>
              <w:bidi w:val="0"/>
              <w:spacing w:lineRule="auto" w:line="276" w:before="0" w:after="160"/>
              <w:jc w:val="left"/>
              <w:rPr/>
            </w:pPr>
            <w:r>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Heading2"/>
        <w:spacing w:before="0" w:after="0"/>
        <w:ind w:left="5103"/>
        <w:rPr>
          <w:rFonts w:ascii="Times New Roman" w:hAnsi="Times New Roman" w:eastAsia="Calibri" w:cs="Times New Roman"/>
          <w:color w:val="0070C0"/>
          <w:sz w:val="24"/>
          <w:szCs w:val="24"/>
        </w:rPr>
      </w:pPr>
      <w:bookmarkStart w:id="56" w:name="_Toc196987787"/>
      <w:r>
        <w:rPr>
          <w:rFonts w:eastAsia="Calibri" w:cs="Times New Roman" w:ascii="Times New Roman" w:hAnsi="Times New Roman"/>
          <w:color w:val="0070C0"/>
          <w:sz w:val="24"/>
          <w:szCs w:val="24"/>
        </w:rPr>
        <w:t>Pirkimo sąlygų 4 priedas „Tiekėjų kvalifikacijos reikalavimai ir reikalaujami kokybės bei aplinkos apsaugos vadybos sistemų standartai“</w:t>
      </w:r>
      <w:bookmarkEnd w:id="56"/>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Subtitle"/>
        <w:spacing w:lineRule="auto" w:line="240" w:before="0" w:after="0"/>
        <w:jc w:val="center"/>
        <w:rPr>
          <w:rFonts w:ascii="Times New Roman" w:hAnsi="Times New Roman" w:cs="Times New Roman"/>
          <w:b/>
          <w:bCs/>
          <w:smallCaps/>
          <w:sz w:val="22"/>
          <w:szCs w:val="22"/>
        </w:rPr>
      </w:pPr>
      <w:r>
        <w:rPr>
          <w:rFonts w:cs="Times New Roman" w:ascii="Times New Roman" w:hAnsi="Times New Roman"/>
          <w:b/>
          <w:bCs/>
          <w:smallCaps/>
          <w:sz w:val="22"/>
          <w:szCs w:val="22"/>
        </w:rPr>
        <w:t xml:space="preserve">TIEKĖJŲ KVALIFIKACIJOS REIKALAVIMAI IR REIKALAVIMAI LAIKYTIS </w:t>
      </w:r>
      <w:r>
        <w:rPr>
          <w:rFonts w:cs="Times New Roman" w:ascii="Times New Roman" w:hAnsi="Times New Roman"/>
          <w:b/>
          <w:bCs/>
          <w:sz w:val="22"/>
          <w:szCs w:val="22"/>
          <w:lang w:eastAsia="en-US"/>
        </w:rPr>
        <w:t>KOKYBĖS VADYBOS SISTEMOS IR (ARBA) APLINKOS APSAUGOS VADYBOS SISTEMOS STANDARTŲ</w:t>
      </w:r>
    </w:p>
    <w:p>
      <w:pPr>
        <w:pStyle w:val="Normal"/>
        <w:spacing w:lineRule="auto" w:line="240" w:before="0" w:after="0"/>
        <w:ind w:left="567"/>
        <w:jc w:val="both"/>
        <w:rPr>
          <w:rFonts w:ascii="Times New Roman" w:hAnsi="Times New Roman" w:cs="Times New Roman"/>
          <w:iCs/>
          <w:sz w:val="22"/>
          <w:szCs w:val="22"/>
        </w:rPr>
      </w:pPr>
      <w:r>
        <w:rPr>
          <w:rFonts w:cs="Times New Roman" w:ascii="Times New Roman" w:hAnsi="Times New Roman"/>
          <w:iCs/>
          <w:sz w:val="22"/>
          <w:szCs w:val="22"/>
        </w:rPr>
      </w:r>
    </w:p>
    <w:p>
      <w:pPr>
        <w:pStyle w:val="Normal"/>
        <w:numPr>
          <w:ilvl w:val="0"/>
          <w:numId w:val="0"/>
        </w:numPr>
        <w:tabs>
          <w:tab w:val="clear" w:pos="1296"/>
          <w:tab w:val="left" w:pos="851" w:leader="none"/>
        </w:tabs>
        <w:spacing w:lineRule="auto" w:line="240" w:before="0" w:after="0"/>
        <w:ind w:hanging="0" w:left="0"/>
        <w:jc w:val="both"/>
        <w:rPr>
          <w:rFonts w:ascii="Times New Roman" w:hAnsi="Times New Roman"/>
        </w:rPr>
      </w:pPr>
      <w:r>
        <w:rPr>
          <w:rFonts w:ascii="Times New Roman" w:hAnsi="Times New Roman"/>
        </w:rPr>
        <w:t xml:space="preserve">1. </w:t>
      </w:r>
      <w:sdt>
        <w:sdtPr>
          <w:tag w:val="goog_rdk_129"/>
          <w:id w:val="-1599392971"/>
          <w:showingPlcHdr/>
        </w:sdtPr>
        <w:sdtContent>
          <w:r>
            <w:rPr>
              <w:rFonts w:ascii="Times New Roman" w:hAnsi="Times New Roman"/>
            </w:rPr>
          </w:r>
          <w:r>
            <w:rPr>
              <w:rFonts w:ascii="Times New Roman" w:hAnsi="Times New Roman"/>
            </w:rPr>
          </w:r>
        </w:sdtContent>
      </w:sdt>
      <w:r>
        <w:rPr>
          <w:rFonts w:eastAsia="Arial" w:cs="Times New Roman" w:ascii="Times New Roman" w:hAnsi="Times New Roman"/>
          <w:sz w:val="22"/>
          <w:szCs w:val="22"/>
        </w:rPr>
        <w:t xml:space="preserve">Tiekėjo kvalifikacija turi atitikti šiame priede nustatytus reikalavimus kvalifikacijai. </w:t>
      </w:r>
    </w:p>
    <w:p>
      <w:pPr>
        <w:pStyle w:val="Normal"/>
        <w:numPr>
          <w:ilvl w:val="0"/>
          <w:numId w:val="0"/>
        </w:numPr>
        <w:tabs>
          <w:tab w:val="clear" w:pos="1296"/>
          <w:tab w:val="left" w:pos="851" w:leader="none"/>
        </w:tabs>
        <w:spacing w:lineRule="auto" w:line="240" w:before="0" w:after="0"/>
        <w:ind w:hanging="0" w:left="0"/>
        <w:jc w:val="both"/>
        <w:rPr>
          <w:rFonts w:ascii="Times New Roman" w:hAnsi="Times New Roman"/>
        </w:rPr>
      </w:pPr>
      <w:r>
        <w:rPr>
          <w:rFonts w:eastAsia="Arial" w:cs="Times New Roman" w:ascii="Times New Roman" w:hAnsi="Times New Roman"/>
          <w:sz w:val="22"/>
          <w:szCs w:val="22"/>
        </w:rPr>
        <w:t>2. Kai tiekėjas remiasi kitų ūkio subjektų pajėgumais, kad atitiktų nustatytus ekonominio ir finansinio pajėgumo reikalavimus, jie privalo prisiimti solidarią atsakomybę už Pirkimo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kurio pasiūlymas bus pripažintas laimėjusiu, privalės pateikti pasirašytos laidavimo sutarties originalus, o nepateikus jų laikoma, kad tiekėjas atsisakė pasirašyti Pirkimo sutartį pirkimo dokumentuose nustatytomis sąlygomis</w:t>
      </w:r>
      <w:r>
        <w:rPr>
          <w:rFonts w:eastAsia="Arial" w:cs="Times New Roman" w:ascii="Times New Roman" w:hAnsi="Times New Roman"/>
          <w:i/>
          <w:iCs/>
          <w:sz w:val="22"/>
          <w:szCs w:val="22"/>
        </w:rPr>
        <w:t>.</w:t>
      </w:r>
    </w:p>
    <w:tbl>
      <w:tblPr>
        <w:tblStyle w:val="2"/>
        <w:tblW w:w="9918" w:type="dxa"/>
        <w:jc w:val="left"/>
        <w:tblInd w:w="120" w:type="dxa"/>
        <w:tblLayout w:type="fixed"/>
        <w:tblCellMar>
          <w:top w:w="0" w:type="dxa"/>
          <w:left w:w="115" w:type="dxa"/>
          <w:bottom w:w="0" w:type="dxa"/>
          <w:right w:w="115" w:type="dxa"/>
        </w:tblCellMar>
        <w:tblLook w:firstRow="0" w:noVBand="1" w:lastRow="0" w:firstColumn="0" w:lastColumn="0" w:noHBand="0" w:val="0400"/>
      </w:tblPr>
      <w:tblGrid>
        <w:gridCol w:w="562"/>
        <w:gridCol w:w="4133"/>
        <w:gridCol w:w="5223"/>
      </w:tblGrid>
      <w:tr>
        <w:trPr/>
        <w:tc>
          <w:tcPr>
            <w:tcW w:w="562" w:type="dxa"/>
            <w:tcBorders>
              <w:top w:val="single" w:sz="4" w:space="0" w:color="000000"/>
              <w:left w:val="single" w:sz="4" w:space="0" w:color="000000"/>
              <w:bottom w:val="single" w:sz="4" w:space="0" w:color="000000"/>
              <w:right w:val="single" w:sz="4" w:space="0" w:color="000000"/>
            </w:tcBorders>
            <w:shd w:color="auto" w:fill="D9E2F3" w:themeFill="accent5" w:themeFillTint="33" w:val="clear"/>
            <w:vAlign w:val="center"/>
          </w:tcPr>
          <w:p>
            <w:pPr>
              <w:pStyle w:val="Normal"/>
              <w:widowControl/>
              <w:suppressAutoHyphens w:val="true"/>
              <w:spacing w:lineRule="auto" w:line="240" w:before="0" w:after="0"/>
              <w:jc w:val="center"/>
              <w:rPr>
                <w:rFonts w:ascii="Times New Roman" w:hAnsi="Times New Roman" w:eastAsia="Arial" w:cs="Times New Roman"/>
                <w:b/>
                <w:sz w:val="22"/>
                <w:szCs w:val="22"/>
              </w:rPr>
            </w:pPr>
            <w:r>
              <w:rPr>
                <w:rFonts w:eastAsia="Arial" w:cs="Times New Roman" w:ascii="Times New Roman" w:hAnsi="Times New Roman"/>
                <w:b/>
                <w:kern w:val="0"/>
                <w:sz w:val="22"/>
                <w:szCs w:val="22"/>
                <w:lang w:val="lt-LT" w:bidi="ar-SA"/>
              </w:rPr>
              <w:t>Eil. Nr.</w:t>
            </w:r>
          </w:p>
        </w:tc>
        <w:tc>
          <w:tcPr>
            <w:tcW w:w="4133" w:type="dxa"/>
            <w:tcBorders>
              <w:top w:val="single" w:sz="4" w:space="0" w:color="000000"/>
              <w:left w:val="single" w:sz="4" w:space="0" w:color="000000"/>
              <w:bottom w:val="single" w:sz="4" w:space="0" w:color="000000"/>
              <w:right w:val="single" w:sz="4" w:space="0" w:color="000000"/>
            </w:tcBorders>
            <w:shd w:color="auto" w:fill="D9E2F3" w:themeFill="accent5" w:themeFillTint="33" w:val="clear"/>
            <w:vAlign w:val="center"/>
          </w:tcPr>
          <w:p>
            <w:pPr>
              <w:pStyle w:val="Normal"/>
              <w:widowControl/>
              <w:suppressAutoHyphens w:val="true"/>
              <w:spacing w:lineRule="auto" w:line="240" w:before="0" w:after="0"/>
              <w:jc w:val="center"/>
              <w:rPr>
                <w:rFonts w:ascii="Times New Roman" w:hAnsi="Times New Roman" w:eastAsia="Arial" w:cs="Times New Roman"/>
                <w:b/>
                <w:sz w:val="22"/>
                <w:szCs w:val="22"/>
              </w:rPr>
            </w:pPr>
            <w:sdt>
              <w:sdtPr>
                <w:tag w:val="goog_rdk_130"/>
                <w:id w:val="2017572132"/>
              </w:sdtPr>
              <w:sdtContent>
                <w:r>
                  <w:rPr/>
                </w:r>
                <w:r>
                  <w:rPr/>
                </w:r>
              </w:sdtContent>
            </w:sdt>
            <w:r>
              <w:rPr>
                <w:rFonts w:eastAsia="Arial" w:cs="Times New Roman" w:ascii="Times New Roman" w:hAnsi="Times New Roman"/>
                <w:b/>
                <w:kern w:val="0"/>
                <w:sz w:val="22"/>
                <w:szCs w:val="22"/>
                <w:lang w:val="lt-LT" w:bidi="ar-SA"/>
              </w:rPr>
              <w:t>Kvalifikacijos reikalavimas</w:t>
            </w:r>
          </w:p>
        </w:tc>
        <w:tc>
          <w:tcPr>
            <w:tcW w:w="5223" w:type="dxa"/>
            <w:tcBorders>
              <w:top w:val="single" w:sz="4" w:space="0" w:color="000000"/>
              <w:left w:val="single" w:sz="4" w:space="0" w:color="000000"/>
              <w:bottom w:val="single" w:sz="4" w:space="0" w:color="000000"/>
              <w:right w:val="single" w:sz="4" w:space="0" w:color="000000"/>
            </w:tcBorders>
            <w:shd w:color="auto" w:fill="D9E2F3" w:themeFill="accent5" w:themeFillTint="33" w:val="clear"/>
            <w:vAlign w:val="center"/>
          </w:tcPr>
          <w:p>
            <w:pPr>
              <w:pStyle w:val="Normal"/>
              <w:widowControl/>
              <w:suppressAutoHyphens w:val="true"/>
              <w:spacing w:lineRule="auto" w:line="240" w:before="0" w:after="0"/>
              <w:jc w:val="center"/>
              <w:rPr>
                <w:rFonts w:ascii="Times New Roman" w:hAnsi="Times New Roman" w:eastAsia="Arial" w:cs="Times New Roman"/>
                <w:b/>
                <w:sz w:val="22"/>
                <w:szCs w:val="22"/>
              </w:rPr>
            </w:pPr>
            <w:r>
              <w:rPr>
                <w:rFonts w:eastAsia="Arial" w:cs="Times New Roman" w:ascii="Times New Roman" w:hAnsi="Times New Roman"/>
                <w:b/>
                <w:kern w:val="0"/>
                <w:sz w:val="22"/>
                <w:szCs w:val="22"/>
                <w:lang w:val="lt-LT" w:bidi="ar-SA"/>
              </w:rPr>
              <w:t>Atitiktį reikalavimui įrodantys dokumentai</w:t>
            </w:r>
          </w:p>
        </w:tc>
      </w:tr>
      <w:tr>
        <w:trPr>
          <w:trHeight w:val="300" w:hRule="atLeast"/>
        </w:trPr>
        <w:tc>
          <w:tcPr>
            <w:tcW w:w="9918" w:type="dxa"/>
            <w:gridSpan w:val="3"/>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ind w:left="337"/>
              <w:jc w:val="center"/>
              <w:rPr>
                <w:rFonts w:ascii="Times New Roman" w:hAnsi="Times New Roman" w:eastAsia="Arial" w:cs="Times New Roman"/>
                <w:b/>
                <w:bCs/>
                <w:sz w:val="22"/>
                <w:szCs w:val="22"/>
              </w:rPr>
            </w:pPr>
            <w:r>
              <w:rPr>
                <w:rFonts w:eastAsia="Arial" w:cs="Times New Roman" w:ascii="Times New Roman" w:hAnsi="Times New Roman"/>
                <w:b/>
                <w:bCs/>
                <w:kern w:val="0"/>
                <w:sz w:val="22"/>
                <w:szCs w:val="22"/>
                <w:lang w:val="lt-LT" w:bidi="ar-SA"/>
              </w:rPr>
              <w:t>Techninis ir profesinis pajėgumas</w:t>
            </w:r>
          </w:p>
        </w:tc>
      </w:tr>
      <w:tr>
        <w:trPr/>
        <w:tc>
          <w:tcPr>
            <w:tcW w:w="562"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15"/>
              </w:numPr>
              <w:suppressAutoHyphens w:val="true"/>
              <w:spacing w:lineRule="auto" w:line="240" w:before="0" w:after="0"/>
              <w:ind w:hanging="0" w:left="24"/>
              <w:jc w:val="center"/>
              <w:rPr>
                <w:rFonts w:ascii="Times New Roman" w:hAnsi="Times New Roman" w:eastAsia="Arial" w:cs="Times New Roman"/>
                <w:sz w:val="20"/>
                <w:szCs w:val="20"/>
              </w:rPr>
            </w:pPr>
            <w:r>
              <w:rPr>
                <w:rFonts w:eastAsia="Arial" w:cs="Times New Roman" w:ascii="Times New Roman" w:hAnsi="Times New Roman"/>
                <w:sz w:val="20"/>
                <w:szCs w:val="20"/>
              </w:rPr>
            </w:r>
          </w:p>
        </w:tc>
        <w:tc>
          <w:tcPr>
            <w:tcW w:w="4133" w:type="dxa"/>
            <w:tcBorders>
              <w:top w:val="single" w:sz="4" w:space="0" w:color="000000"/>
              <w:left w:val="single" w:sz="4" w:space="0" w:color="000000"/>
              <w:bottom w:val="single" w:sz="4" w:space="0" w:color="000000"/>
              <w:right w:val="single" w:sz="4" w:space="0" w:color="000000"/>
            </w:tcBorders>
          </w:tcPr>
          <w:p>
            <w:pPr>
              <w:pStyle w:val="Pf0"/>
              <w:widowControl/>
              <w:suppressAutoHyphens w:val="true"/>
              <w:spacing w:beforeAutospacing="0" w:before="0" w:afterAutospacing="0" w:after="0"/>
              <w:jc w:val="both"/>
              <w:rPr/>
            </w:pPr>
            <w:r>
              <w:rPr>
                <w:rStyle w:val="Cf01"/>
                <w:rFonts w:eastAsia="" w:cs="Times New Roman" w:eastAsiaTheme="minorEastAsia"/>
                <w:kern w:val="0"/>
                <w:sz w:val="24"/>
                <w:szCs w:val="24"/>
                <w:lang w:val="lt-LT" w:bidi="ar-SA"/>
              </w:rPr>
              <w:t xml:space="preserve">Tiekėjas (tiekėjų grupės partneriai kartu), ūkio subjektas, kurio pajėgumais remiasi tiekėjas, per paskutinius 3 metų iki pasiūlymų pateikimo termino pabaigos </w:t>
            </w:r>
            <w:r>
              <w:rPr>
                <w:rStyle w:val="Cf01"/>
                <w:rFonts w:cs="Times New Roman"/>
                <w:color w:val="000000"/>
                <w:kern w:val="0"/>
                <w:sz w:val="24"/>
                <w:szCs w:val="24"/>
                <w:lang w:val="lt-LT" w:bidi="ar-SA"/>
              </w:rPr>
              <w:t>pagal vieną ar daugiau sutarčių yra</w:t>
            </w:r>
            <w:r>
              <w:rPr>
                <w:rStyle w:val="Cf01"/>
                <w:rFonts w:cs="Times New Roman"/>
                <w:color w:val="000000"/>
                <w:kern w:val="0"/>
                <w:sz w:val="24"/>
                <w:szCs w:val="24"/>
                <w:lang w:val="en-US" w:bidi="ar-SA"/>
              </w:rPr>
              <w:t xml:space="preserve"> </w:t>
            </w:r>
            <w:r>
              <w:rPr>
                <w:rStyle w:val="Cf01"/>
                <w:rFonts w:cs="Times New Roman"/>
                <w:color w:val="000000"/>
                <w:kern w:val="0"/>
                <w:sz w:val="24"/>
                <w:szCs w:val="24"/>
                <w:lang w:val="lt-LT" w:bidi="ar-SA"/>
              </w:rPr>
              <w:t xml:space="preserve">pardavęs/ pagaminęs reklamos/ viešinimo atributikos/ </w:t>
            </w:r>
            <w:r>
              <w:rPr>
                <w:rStyle w:val="Cf01"/>
                <w:rFonts w:cs="Times New Roman"/>
                <w:color w:val="000000"/>
                <w:kern w:val="0"/>
                <w:sz w:val="24"/>
                <w:szCs w:val="24"/>
                <w:lang w:val="en-US" w:bidi="ar-SA"/>
              </w:rPr>
              <w:t xml:space="preserve">priemonių </w:t>
            </w:r>
            <w:r>
              <w:rPr>
                <w:rStyle w:val="Cf01"/>
                <w:rFonts w:cs="Times New Roman"/>
                <w:color w:val="000000"/>
                <w:kern w:val="0"/>
                <w:sz w:val="24"/>
                <w:szCs w:val="24"/>
                <w:lang w:val="lt-LT" w:bidi="ar-SA"/>
              </w:rPr>
              <w:t>už ne mažesnę vertę kaip  10 000,00 Eur be PVM.</w:t>
            </w:r>
          </w:p>
        </w:tc>
        <w:tc>
          <w:tcPr>
            <w:tcW w:w="522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ind w:right="45"/>
              <w:jc w:val="both"/>
              <w:rPr>
                <w:rFonts w:ascii="Times New Roman" w:hAnsi="Times New Roman"/>
              </w:rPr>
            </w:pPr>
            <w:r>
              <w:rPr>
                <w:rFonts w:cs="Times New Roman" w:ascii="Times New Roman" w:hAnsi="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ascii="Times New Roman" w:hAnsi="Times New Roman"/>
                <w:iCs/>
                <w:color w:val="000000"/>
                <w:kern w:val="0"/>
                <w:sz w:val="24"/>
                <w:szCs w:val="24"/>
                <w:lang w:val="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ascii="Times New Roman" w:hAnsi="Times New Roman"/>
                <w:iCs/>
                <w:color w:val="000000"/>
                <w:kern w:val="0"/>
                <w:sz w:val="24"/>
                <w:szCs w:val="24"/>
                <w:lang w:val="lt-LT" w:bidi="ar-SA"/>
              </w:rPr>
              <w:t xml:space="preserve">1. </w:t>
            </w:r>
            <w:r>
              <w:rPr>
                <w:rFonts w:eastAsia="Times New Roman" w:cs="" w:ascii="Times New Roman" w:hAnsi="Times New Roman"/>
                <w:color w:val="000000"/>
                <w:kern w:val="0"/>
                <w:sz w:val="24"/>
                <w:szCs w:val="24"/>
                <w:lang w:val="lt-LT" w:bidi="ar-SA"/>
              </w:rPr>
              <w:t>Pateikiamas pagrindinių per paskutinius 3 metus  pirkimo-pardavimo sutarčių sąrašas, kuriame nurodomos sumos, datos ir paslaugų gavėjai (tiek viešieji, tiek privatieji), kartu su užsakovų pažymomis apie tinkamai įvykdytas sutartis.</w:t>
            </w:r>
          </w:p>
          <w:p>
            <w:pPr>
              <w:pStyle w:val="Normal"/>
              <w:widowControl/>
              <w:suppressAutoHyphens w:val="true"/>
              <w:spacing w:lineRule="auto" w:line="240" w:before="0" w:after="0"/>
              <w:ind w:right="45"/>
              <w:jc w:val="both"/>
              <w:rPr>
                <w:rFonts w:ascii="Times New Roman" w:hAnsi="Times New Roman"/>
              </w:rPr>
            </w:pPr>
            <w:r>
              <w:rPr>
                <w:rFonts w:eastAsia="Times New Roman" w:cs="" w:ascii="Times New Roman" w:hAnsi="Times New Roman"/>
                <w:color w:val="000000"/>
                <w:kern w:val="0"/>
                <w:sz w:val="24"/>
                <w:szCs w:val="24"/>
                <w:lang w:val="lt-LT" w:bidi="ar-SA"/>
              </w:rPr>
              <w:t>2. Pažymose turi būti nurodyta: gavėjas, suteiktų paslaugų pavadinimai, vertė, data ir vieta, taip pat ar paslaugos buvo suteiktos pagal pirkimo sutarties reikalavimus. Perdavimo – priėmimo  aktas gali būti pateikiamas, kaip lygiavertį dokumentą užsakovų pažymai.</w:t>
            </w:r>
          </w:p>
          <w:p>
            <w:pPr>
              <w:pStyle w:val="Normal"/>
              <w:widowControl/>
              <w:suppressAutoHyphens w:val="true"/>
              <w:spacing w:lineRule="auto" w:line="240" w:before="0" w:after="160"/>
              <w:ind w:left="720"/>
              <w:jc w:val="both"/>
              <w:rPr>
                <w:rFonts w:ascii="Times New Roman" w:hAnsi="Times New Roman"/>
                <w:sz w:val="24"/>
                <w:szCs w:val="24"/>
              </w:rPr>
            </w:pPr>
            <w:r>
              <w:rPr>
                <w:rFonts w:ascii="Times New Roman" w:hAnsi="Times New Roman"/>
                <w:sz w:val="24"/>
                <w:szCs w:val="24"/>
              </w:rPr>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ascii="Times New Roman" w:hAnsi="Times New Roman"/>
                <w:b/>
                <w:i/>
                <w:iCs/>
                <w:color w:val="000000"/>
                <w:kern w:val="0"/>
                <w:sz w:val="24"/>
                <w:szCs w:val="24"/>
                <w:lang w:val="lt-LT" w:bidi="ar-SA"/>
              </w:rPr>
              <w:t>CVP IS priemonėmis pateikiamos skaitmeninės dokumentų kopijos.</w:t>
            </w:r>
          </w:p>
        </w:tc>
      </w:tr>
    </w:tbl>
    <w:p>
      <w:pPr>
        <w:pStyle w:val="Normal"/>
        <w:tabs>
          <w:tab w:val="clear" w:pos="1296"/>
          <w:tab w:val="left" w:pos="720" w:leader="none"/>
        </w:tabs>
        <w:spacing w:lineRule="auto" w:line="240" w:before="0" w:after="0"/>
        <w:ind w:firstLine="567"/>
        <w:rPr>
          <w:rFonts w:ascii="Times New Roman" w:hAnsi="Times New Roman" w:eastAsia="Arial" w:cs="Times New Roman"/>
          <w:sz w:val="20"/>
          <w:szCs w:val="20"/>
        </w:rPr>
      </w:pPr>
      <w:r>
        <w:rPr>
          <w:rFonts w:eastAsia="Arial" w:cs="Times New Roman" w:ascii="Times New Roman" w:hAnsi="Times New Roman"/>
          <w:sz w:val="20"/>
          <w:szCs w:val="20"/>
        </w:rPr>
      </w:r>
    </w:p>
    <w:p>
      <w:pPr>
        <w:pStyle w:val="Normal"/>
        <w:widowControl/>
        <w:suppressAutoHyphens w:val="true"/>
        <w:bidi w:val="0"/>
        <w:spacing w:lineRule="auto" w:line="240" w:before="0" w:after="0"/>
        <w:ind w:hanging="0" w:left="0" w:right="0"/>
        <w:jc w:val="left"/>
        <w:rPr>
          <w:rFonts w:ascii="Times New Roman" w:hAnsi="Times New Roman" w:eastAsia="Arial" w:cs="Times New Roman"/>
          <w:sz w:val="22"/>
          <w:szCs w:val="22"/>
        </w:rPr>
      </w:pPr>
      <w:r>
        <w:rPr>
          <w:rFonts w:eastAsia="Arial" w:cs="Times New Roman" w:ascii="Times New Roman" w:hAnsi="Times New Roman"/>
          <w:sz w:val="22"/>
          <w:szCs w:val="22"/>
          <w:lang w:val="en-US"/>
        </w:rPr>
        <w:t xml:space="preserve">3. </w:t>
      </w:r>
      <w:r>
        <w:rPr>
          <w:rFonts w:eastAsia="Arial" w:cs="Times New Roman" w:ascii="Times New Roman" w:hAnsi="Times New Roman"/>
          <w:sz w:val="22"/>
          <w:szCs w:val="22"/>
        </w:rPr>
        <w:t>Tiekėjams nėra  nustatomi reikalavimai dėl aplinkos apsaugos, kokybės, saugos ir sveikatos vadybos sistemos standartų laikymosi.</w:t>
      </w:r>
    </w:p>
    <w:p>
      <w:pPr>
        <w:pStyle w:val="ListParagraph"/>
        <w:numPr>
          <w:ilvl w:val="0"/>
          <w:numId w:val="0"/>
        </w:numPr>
        <w:tabs>
          <w:tab w:val="clear" w:pos="1296"/>
          <w:tab w:val="left" w:pos="567" w:leader="none"/>
        </w:tabs>
        <w:spacing w:lineRule="auto" w:line="240" w:before="0" w:after="0"/>
        <w:ind w:hanging="0" w:left="0"/>
        <w:contextualSpacing/>
        <w:jc w:val="both"/>
        <w:rPr>
          <w:sz w:val="24"/>
          <w:szCs w:val="24"/>
        </w:rPr>
      </w:pPr>
      <w:r>
        <w:rPr>
          <w:rFonts w:eastAsia="" w:cs="Times New Roman" w:ascii="Times New Roman" w:hAnsi="Times New Roman" w:eastAsiaTheme="minorEastAsia"/>
          <w:sz w:val="24"/>
          <w:szCs w:val="24"/>
          <w:lang w:val="en-US" w:eastAsia="lt-LT"/>
        </w:rPr>
        <w:t xml:space="preserve">4. </w:t>
      </w:r>
      <w:r>
        <w:rPr>
          <w:rFonts w:eastAsia="" w:cs="Times New Roman" w:ascii="Times New Roman" w:hAnsi="Times New Roman" w:eastAsiaTheme="minorEastAsia"/>
          <w:sz w:val="24"/>
          <w:szCs w:val="24"/>
          <w:lang w:eastAsia="lt-LT"/>
        </w:rPr>
        <w:t>Šiame priede reikalaujama kvalifikacija turi būti įgyta iki pasiūlymų pateikimo termino pabaigos.</w:t>
      </w:r>
    </w:p>
    <w:p>
      <w:pPr>
        <w:pStyle w:val="ListParagraph"/>
        <w:numPr>
          <w:ilvl w:val="0"/>
          <w:numId w:val="0"/>
        </w:numPr>
        <w:tabs>
          <w:tab w:val="clear" w:pos="1296"/>
          <w:tab w:val="left" w:pos="567" w:leader="none"/>
        </w:tabs>
        <w:spacing w:lineRule="auto" w:line="240" w:before="0" w:after="0"/>
        <w:ind w:hanging="0" w:left="0"/>
        <w:contextualSpacing/>
        <w:jc w:val="both"/>
        <w:rPr>
          <w:sz w:val="24"/>
          <w:szCs w:val="24"/>
        </w:rPr>
      </w:pPr>
      <w:r>
        <w:rPr>
          <w:rFonts w:eastAsia="Arial Unicode MS" w:cs="Times New Roman" w:ascii="Times New Roman" w:hAnsi="Times New Roman"/>
          <w:color w:val="000000"/>
          <w:sz w:val="24"/>
          <w:szCs w:val="24"/>
          <w:lang w:val="en-US"/>
        </w:rPr>
        <w:t xml:space="preserve">5. </w:t>
      </w:r>
      <w:r>
        <w:rPr>
          <w:rFonts w:eastAsia="Arial Unicode MS" w:cs="Times New Roman" w:ascii="Times New Roman" w:hAnsi="Times New Roman"/>
          <w:color w:val="000000"/>
          <w:sz w:val="24"/>
          <w:szCs w:val="24"/>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pPr>
        <w:pStyle w:val="Normal"/>
        <w:numPr>
          <w:ilvl w:val="0"/>
          <w:numId w:val="0"/>
        </w:numPr>
        <w:tabs>
          <w:tab w:val="clear" w:pos="1296"/>
          <w:tab w:val="left" w:pos="567" w:leader="none"/>
          <w:tab w:val="left" w:pos="851" w:leader="none"/>
        </w:tabs>
        <w:spacing w:lineRule="auto" w:line="240" w:before="0" w:after="0"/>
        <w:ind w:hanging="0" w:left="0"/>
        <w:contextualSpacing/>
        <w:jc w:val="both"/>
        <w:rPr>
          <w:sz w:val="24"/>
          <w:szCs w:val="24"/>
        </w:rPr>
      </w:pPr>
      <w:r>
        <w:rPr>
          <w:rFonts w:cs="Times New Roman" w:ascii="Times New Roman" w:hAnsi="Times New Roman"/>
          <w:sz w:val="24"/>
          <w:szCs w:val="24"/>
          <w:lang w:val="en-US"/>
        </w:rPr>
        <w:t xml:space="preserve">6. </w:t>
      </w:r>
      <w:r>
        <w:rPr>
          <w:rFonts w:cs="Times New Roman" w:ascii="Times New Roman" w:hAnsi="Times New Roman"/>
          <w:sz w:val="24"/>
          <w:szCs w:val="24"/>
        </w:rPr>
        <w:t>Jeigu pasiūlymą teikia ūkio subjektų grupė – reikalavimą turi atitikti ūkio subjektų grupės nario (-ių) specialistai, atsižvelgiant į jų prisiimamus įsipareigojimus pirkimo sutarčiai vykdyti;</w:t>
      </w:r>
    </w:p>
    <w:p>
      <w:pPr>
        <w:pStyle w:val="Normal"/>
        <w:tabs>
          <w:tab w:val="clear" w:pos="1296"/>
          <w:tab w:val="left" w:pos="709" w:leader="none"/>
        </w:tabs>
        <w:spacing w:lineRule="atLeast" w:line="20" w:before="0" w:after="0"/>
        <w:jc w:val="both"/>
        <w:rPr>
          <w:rFonts w:ascii="Times New Roman" w:hAnsi="Times New Roman" w:eastAsia="Calibri" w:cs="Times New Roman"/>
          <w:iCs/>
          <w:sz w:val="24"/>
          <w:szCs w:val="24"/>
        </w:rPr>
      </w:pPr>
      <w:r>
        <w:rPr>
          <w:rFonts w:eastAsia="Calibri" w:cs="Times New Roman" w:ascii="Times New Roman" w:hAnsi="Times New Roman"/>
          <w:iCs/>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jc w:val="right"/>
        <w:rPr>
          <w:rFonts w:ascii="Times New Roman" w:hAnsi="Times New Roman" w:cs="Times New Roman"/>
          <w:sz w:val="24"/>
          <w:szCs w:val="24"/>
        </w:rPr>
      </w:pPr>
      <w:r>
        <w:rPr>
          <w:rFonts w:eastAsia="Calibri" w:cs="Times New Roman" w:ascii="Times New Roman" w:hAnsi="Times New Roman"/>
          <w:color w:val="0070C0"/>
          <w:sz w:val="24"/>
          <w:szCs w:val="24"/>
        </w:rPr>
        <w:t>Pirkimo sąlygų 5 priedas „EBVPD“</w:t>
      </w:r>
    </w:p>
    <w:p>
      <w:pPr>
        <w:pStyle w:val="Subtitle"/>
        <w:spacing w:before="0" w:after="0"/>
        <w:jc w:val="center"/>
        <w:rPr>
          <w:rFonts w:ascii="Times New Roman" w:hAnsi="Times New Roman" w:cs="Times New Roman"/>
          <w:caps w:val="false"/>
          <w:smallCaps w:val="false"/>
          <w:sz w:val="24"/>
          <w:szCs w:val="24"/>
        </w:rPr>
      </w:pPr>
      <w:r>
        <w:rPr>
          <w:rFonts w:cs="Times New Roman" w:ascii="Times New Roman" w:hAnsi="Times New Roman"/>
          <w:caps w:val="false"/>
          <w:smallCaps w:val="false"/>
          <w:sz w:val="24"/>
          <w:szCs w:val="24"/>
        </w:rPr>
      </w:r>
    </w:p>
    <w:p>
      <w:pPr>
        <w:pStyle w:val="Subtitle"/>
        <w:spacing w:before="0" w:after="0"/>
        <w:jc w:val="center"/>
        <w:rPr>
          <w:rFonts w:ascii="Times New Roman" w:hAnsi="Times New Roman" w:cs="Times New Roman"/>
          <w:caps w:val="false"/>
          <w:smallCaps w:val="false"/>
          <w:sz w:val="24"/>
          <w:szCs w:val="24"/>
        </w:rPr>
      </w:pPr>
      <w:r>
        <w:rPr>
          <w:rFonts w:cs="Times New Roman" w:ascii="Times New Roman" w:hAnsi="Times New Roman"/>
          <w:caps w:val="false"/>
          <w:smallCaps w:val="false"/>
          <w:sz w:val="24"/>
          <w:szCs w:val="24"/>
        </w:rPr>
        <w:t>EUROPOS BENDRASIS VIEŠŲJŲ PIRKIMŲ DOKUMENTAS</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Pateikiama atskirame priede</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__________</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0070C0"/>
          <w:sz w:val="24"/>
          <w:szCs w:val="24"/>
        </w:rPr>
      </w:pPr>
      <w:bookmarkStart w:id="57" w:name="_Toc196987788"/>
      <w:bookmarkStart w:id="58" w:name="_Ref38901392"/>
      <w:bookmarkStart w:id="59" w:name="_Ref38898051"/>
      <w:bookmarkStart w:id="60" w:name="_Ref38540913"/>
      <w:r>
        <w:rPr>
          <w:rFonts w:eastAsia="Calibri" w:cs="Times New Roman" w:ascii="Times New Roman" w:hAnsi="Times New Roman"/>
          <w:color w:val="0070C0"/>
          <w:sz w:val="24"/>
          <w:szCs w:val="24"/>
        </w:rPr>
        <w:t>Pirkimo sąlygų 6 priedas „Pasiūlymo forma“</w:t>
      </w:r>
      <w:bookmarkEnd w:id="57"/>
      <w:bookmarkEnd w:id="58"/>
      <w:bookmarkEnd w:id="59"/>
      <w:bookmarkEnd w:id="60"/>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Herbas arba prekių ženklas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(Tiekėjo pavadinimas)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rPr>
          <w:rFonts w:cs="" w:asciiTheme="majorBidi" w:cstheme="majorBidi" w:hAnsiTheme="majorBidi"/>
          <w:b/>
          <w:bCs/>
          <w:sz w:val="24"/>
          <w:szCs w:val="24"/>
        </w:rPr>
      </w:pPr>
      <w:r>
        <w:rPr>
          <w:rFonts w:cs="" w:asciiTheme="majorBidi" w:cstheme="majorBidi" w:hAnsiTheme="majorBidi"/>
          <w:b/>
          <w:bCs/>
          <w:sz w:val="24"/>
          <w:szCs w:val="24"/>
        </w:rPr>
      </w:r>
    </w:p>
    <w:p>
      <w:pPr>
        <w:pStyle w:val="Normal"/>
        <w:spacing w:lineRule="auto" w:line="240"/>
        <w:rPr>
          <w:rFonts w:cs="" w:asciiTheme="majorBidi" w:cstheme="majorBidi" w:hAnsiTheme="majorBidi"/>
          <w:sz w:val="24"/>
          <w:szCs w:val="24"/>
        </w:rPr>
      </w:pPr>
      <w:r>
        <w:rPr>
          <w:rFonts w:cs="" w:asciiTheme="majorBidi" w:cstheme="majorBidi" w:hAnsiTheme="majorBidi"/>
          <w:sz w:val="24"/>
          <w:szCs w:val="24"/>
        </w:rPr>
        <w:t>Higienos institutui</w:t>
      </w:r>
    </w:p>
    <w:p>
      <w:pPr>
        <w:pStyle w:val="Normal"/>
        <w:spacing w:lineRule="auto" w:line="240"/>
        <w:jc w:val="center"/>
        <w:rPr>
          <w:rFonts w:ascii="Times New Roman" w:hAnsi="Times New Roman"/>
          <w:b/>
          <w:bCs/>
          <w:sz w:val="24"/>
          <w:szCs w:val="24"/>
        </w:rPr>
      </w:pPr>
      <w:r>
        <w:rPr>
          <w:rFonts w:cs="" w:ascii="Times New Roman" w:hAnsi="Times New Roman" w:cstheme="majorBidi"/>
          <w:b/>
          <w:bCs/>
          <w:sz w:val="24"/>
          <w:szCs w:val="24"/>
        </w:rPr>
        <w:t>PASIŪLYMAS</w:t>
      </w:r>
    </w:p>
    <w:p>
      <w:pPr>
        <w:pStyle w:val="Normal"/>
        <w:spacing w:lineRule="auto" w:line="240" w:before="0" w:after="0"/>
        <w:jc w:val="center"/>
        <w:textAlignment w:val="baseline"/>
        <w:rPr>
          <w:sz w:val="24"/>
          <w:szCs w:val="24"/>
        </w:rPr>
      </w:pPr>
      <w:r>
        <w:rPr>
          <w:rFonts w:cs="Times New Roman" w:ascii="Times New Roman" w:hAnsi="Times New Roman"/>
          <w:b/>
          <w:bCs/>
          <w:sz w:val="24"/>
          <w:szCs w:val="24"/>
        </w:rPr>
        <w:t>TUESI.LT VIEŠINIMAS: ŽENKLO ATRIBUTIKOS GAMYBA IR SKLAIDA</w:t>
      </w:r>
    </w:p>
    <w:p>
      <w:pPr>
        <w:pStyle w:val="Normal"/>
        <w:spacing w:lineRule="auto" w:line="240" w:before="0" w:after="0"/>
        <w:jc w:val="center"/>
        <w:textAlignment w:val="baseline"/>
        <w:rPr>
          <w:rFonts w:ascii="Times New Roman" w:hAnsi="Times New Roman" w:cs="Times New Roman"/>
          <w:b/>
          <w:bCs/>
        </w:rPr>
      </w:pPr>
      <w:r>
        <w:rPr>
          <w:rFonts w:cs="Times New Roman" w:ascii="Times New Roman" w:hAnsi="Times New Roman"/>
          <w:b/>
          <w:bCs/>
        </w:rPr>
      </w:r>
    </w:p>
    <w:p>
      <w:pPr>
        <w:pStyle w:val="Normal"/>
        <w:tabs>
          <w:tab w:val="clear" w:pos="1296"/>
          <w:tab w:val="left" w:pos="360" w:leader="none"/>
        </w:tabs>
        <w:overflowPunct w:val="false"/>
        <w:spacing w:lineRule="auto" w:line="240" w:before="0" w:after="0"/>
        <w:ind w:hanging="360" w:left="360"/>
        <w:jc w:val="center"/>
        <w:textAlignment w:val="baseline"/>
        <w:rPr>
          <w:rFonts w:ascii="Times New Roman" w:hAnsi="Times New Roman" w:cs="Times New Roman"/>
          <w:sz w:val="24"/>
          <w:szCs w:val="24"/>
        </w:rPr>
      </w:pPr>
      <w:r>
        <w:rPr>
          <w:rFonts w:cs="Times New Roman" w:ascii="Times New Roman" w:hAnsi="Times New Roman"/>
          <w:bCs/>
          <w:sz w:val="24"/>
          <w:szCs w:val="24"/>
        </w:rPr>
        <w:t xml:space="preserve">Pildydamas šią formą tiekėjas turi pateikti visą žemiau prašomą informaciją. </w:t>
      </w:r>
      <w:r>
        <w:rPr>
          <w:rFonts w:cs="Times New Roman" w:ascii="Times New Roman" w:hAnsi="Times New Roman"/>
          <w:bCs/>
          <w:i/>
          <w:sz w:val="24"/>
          <w:szCs w:val="24"/>
          <w:u w:val="single"/>
        </w:rPr>
        <w:t>Jei tiekėjas 2 ir (ar) 3 punktų neužpildo arba juos išbraukia, laikoma kad jis sutarčiai vykdyti subtiekėjų  nepasitelks/ pasiūlyme konfidencialios informacijos nėra.</w:t>
      </w:r>
    </w:p>
    <w:p>
      <w:pPr>
        <w:pStyle w:val="Normal"/>
        <w:shd w:val="clear" w:color="auto"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cs="Times New Roman"/>
          <w:b/>
          <w:bCs/>
          <w:sz w:val="24"/>
          <w:szCs w:val="24"/>
        </w:rPr>
      </w:pPr>
      <w:r>
        <w:rPr>
          <w:rFonts w:cs="Times New Roman" w:ascii="Times New Roman" w:hAnsi="Times New Roman"/>
          <w:sz w:val="24"/>
          <w:szCs w:val="24"/>
        </w:rPr>
        <w:t>____________</w:t>
      </w:r>
      <w:r>
        <w:rPr>
          <w:rFonts w:cs="Times New Roman" w:ascii="Times New Roman" w:hAnsi="Times New Roman"/>
          <w:b/>
          <w:bCs/>
          <w:sz w:val="24"/>
          <w:szCs w:val="24"/>
        </w:rPr>
        <w:t xml:space="preserve"> Nr.</w:t>
      </w:r>
      <w:r>
        <w:rPr>
          <w:rFonts w:cs="Times New Roman" w:ascii="Times New Roman" w:hAnsi="Times New Roman"/>
          <w:sz w:val="24"/>
          <w:szCs w:val="24"/>
        </w:rPr>
        <w:t xml:space="preserve"> 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(Data)</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_____________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(Sudarymo vieta)</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bl>
      <w:tblPr>
        <w:tblW w:w="9720" w:type="dxa"/>
        <w:jc w:val="left"/>
        <w:tblInd w:w="-185" w:type="dxa"/>
        <w:tblLayout w:type="fixed"/>
        <w:tblCellMar>
          <w:top w:w="0" w:type="dxa"/>
          <w:left w:w="108" w:type="dxa"/>
          <w:bottom w:w="0" w:type="dxa"/>
          <w:right w:w="108" w:type="dxa"/>
        </w:tblCellMar>
        <w:tblLook w:firstRow="1" w:noVBand="0" w:lastRow="0" w:firstColumn="1" w:lastColumn="0" w:noHBand="0" w:val="00a0"/>
      </w:tblPr>
      <w:tblGrid>
        <w:gridCol w:w="4747"/>
        <w:gridCol w:w="4972"/>
      </w:tblGrid>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Jungtinės veiklos sutarties atsakingas partneris </w:t>
            </w:r>
            <w:r>
              <w:rPr>
                <w:rFonts w:cs="Times New Roman" w:ascii="Times New Roman" w:hAnsi="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adresas(-ai)</w:t>
            </w:r>
            <w:r>
              <w:rPr>
                <w:rStyle w:val="FootnoteReference"/>
                <w:rFonts w:cs="Times New Roman" w:ascii="Times New Roman" w:hAnsi="Times New Roman"/>
                <w:sz w:val="24"/>
                <w:szCs w:val="24"/>
                <w:vertAlign w:val="superscript"/>
              </w:rPr>
              <w:footnoteReference w:id="7"/>
            </w:r>
            <w:r>
              <w:rPr>
                <w:rFonts w:cs="Times New Roman" w:ascii="Times New Roman" w:hAnsi="Times New Roman"/>
                <w:sz w:val="24"/>
                <w:szCs w:val="24"/>
              </w:rPr>
              <w:t xml:space="preserve"> </w:t>
            </w:r>
            <w:r>
              <w:rPr>
                <w:rFonts w:cs="Times New Roman" w:ascii="Times New Roman" w:hAnsi="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Juridinio asmens kodas(-ai)</w:t>
            </w:r>
            <w:r>
              <w:rPr>
                <w:rFonts w:cs="Times New Roman" w:ascii="Times New Roman" w:hAnsi="Times New Roman"/>
                <w:sz w:val="24"/>
                <w:szCs w:val="24"/>
                <w:vertAlign w:val="superscript"/>
              </w:rPr>
              <w:t>1</w:t>
            </w:r>
            <w:r>
              <w:rPr>
                <w:rFonts w:cs="Times New Roman" w:ascii="Times New Roman" w:hAnsi="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PVM mokėtojo kodas(-ai)</w:t>
            </w:r>
            <w:r>
              <w:rPr>
                <w:rFonts w:cs="Times New Roman" w:ascii="Times New Roman" w:hAnsi="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tabs>
                <w:tab w:val="clear" w:pos="1296"/>
                <w:tab w:val="left" w:pos="22"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 Šiuo pasiūlymu pažymime, kad sutinkame su visomis pirkimo sąlygomis, nustatytomis: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1.1. skelbime apie pirkimą, paskelbtame Lietuvos Respublikos viešųjų pirkimų įstatymo nustatyta tvarka;</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1.2. šiose konkurso sąlygose;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1.3. kituose pirkimo dokumentuose (jų paaiškinimuose, papildymuose).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pacing w:val="-4"/>
          <w:sz w:val="24"/>
          <w:szCs w:val="24"/>
        </w:rPr>
        <w:t>1.4. Pateikdamas pasiūlymą</w:t>
      </w:r>
      <w:r>
        <w:rPr>
          <w:rFonts w:cs="Times New Roman" w:ascii="Times New Roman" w:hAnsi="Times New Roman"/>
          <w:sz w:val="24"/>
          <w:szCs w:val="24"/>
        </w:rPr>
        <w:t xml:space="preserve"> </w:t>
      </w:r>
      <w:r>
        <w:rPr>
          <w:rFonts w:cs="Times New Roman" w:ascii="Times New Roman" w:hAnsi="Times New Roman"/>
          <w:spacing w:val="-4"/>
          <w:sz w:val="24"/>
          <w:szCs w:val="24"/>
        </w:rPr>
        <w:t>CVP IS priemonėmis, patvirtinu, kad dokumentų skaitmeninės</w:t>
      </w:r>
      <w:r>
        <w:rPr>
          <w:rFonts w:cs="Times New Roman" w:ascii="Times New Roman" w:hAnsi="Times New Roman"/>
          <w:sz w:val="24"/>
          <w:szCs w:val="24"/>
        </w:rPr>
        <w:t xml:space="preserve"> kopijos ir elektroninėmis priemonėmis pateikti duomenys yra tikri.</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bCs/>
          <w:sz w:val="24"/>
          <w:szCs w:val="24"/>
        </w:rPr>
        <w:t xml:space="preserve">2. </w:t>
      </w:r>
      <w:r>
        <w:rPr>
          <w:rFonts w:cs="Times New Roman" w:ascii="Times New Roman" w:hAnsi="Times New Roman"/>
          <w:b/>
          <w:sz w:val="24"/>
          <w:szCs w:val="24"/>
          <w:u w:val="single"/>
        </w:rPr>
        <w:t>Perkančioji organizacija reikalauja, kad</w:t>
      </w:r>
      <w:r>
        <w:rPr>
          <w:rFonts w:cs="Times New Roman" w:ascii="Times New Roman" w:hAnsi="Times New Roman"/>
          <w:b/>
          <w:sz w:val="24"/>
          <w:szCs w:val="24"/>
        </w:rPr>
        <w:t>:</w:t>
      </w:r>
    </w:p>
    <w:p>
      <w:pPr>
        <w:pStyle w:val="Normal"/>
        <w:tabs>
          <w:tab w:val="clear" w:pos="1296"/>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bCs/>
          <w:sz w:val="24"/>
          <w:szCs w:val="24"/>
        </w:rPr>
        <w:t xml:space="preserve">2.1. </w:t>
      </w:r>
      <w:r>
        <w:rPr>
          <w:rFonts w:cs="Times New Roman" w:ascii="Times New Roman" w:hAnsi="Times New Roman"/>
          <w:b/>
          <w:sz w:val="24"/>
          <w:szCs w:val="24"/>
        </w:rPr>
        <w:t>kvalifikacinių reikalavimų atitikčiai remsiuosi ūkio subjektų pajėgumais (t. y. pasitelksiu ūkio subjektus, kurio pajėgumais remsiuosi*)</w:t>
      </w:r>
      <w:r>
        <w:rPr>
          <w:rFonts w:cs="Times New Roman" w:ascii="Times New Roman" w:hAnsi="Times New Roman"/>
          <w:sz w:val="24"/>
          <w:szCs w:val="24"/>
        </w:rPr>
        <w:t xml:space="preserve"> </w:t>
      </w:r>
      <w:r>
        <w:rPr>
          <w:rFonts w:cs="Times New Roman" w:ascii="Times New Roman" w:hAnsi="Times New Roman"/>
          <w:b/>
          <w:sz w:val="24"/>
          <w:szCs w:val="24"/>
        </w:rPr>
        <w:t>(</w:t>
      </w:r>
      <w:r>
        <w:rPr>
          <w:rFonts w:cs="Times New Roman" w:ascii="Times New Roman" w:hAnsi="Times New Roman"/>
          <w:i/>
          <w:sz w:val="24"/>
          <w:szCs w:val="24"/>
        </w:rPr>
        <w:t xml:space="preserve">jei taikoma): </w:t>
      </w:r>
    </w:p>
    <w:p>
      <w:pPr>
        <w:pStyle w:val="Normal"/>
        <w:spacing w:lineRule="auto" w:line="240" w:before="0" w:after="0"/>
        <w:ind w:left="720"/>
        <w:contextualSpacing/>
        <w:rPr>
          <w:rFonts w:ascii="Times New Roman" w:hAnsi="Times New Roman" w:cs="Times New Roman"/>
          <w:i/>
          <w:i/>
          <w:sz w:val="24"/>
          <w:szCs w:val="24"/>
        </w:rPr>
      </w:pPr>
      <w:r>
        <w:rPr>
          <w:rFonts w:cs="Times New Roman" w:ascii="Times New Roman" w:hAnsi="Times New Roman"/>
          <w:i/>
          <w:sz w:val="24"/>
          <w:szCs w:val="24"/>
        </w:rPr>
      </w:r>
    </w:p>
    <w:tbl>
      <w:tblPr>
        <w:tblW w:w="9674" w:type="dxa"/>
        <w:jc w:val="left"/>
        <w:tblInd w:w="-111" w:type="dxa"/>
        <w:tblLayout w:type="fixed"/>
        <w:tblCellMar>
          <w:top w:w="0" w:type="dxa"/>
          <w:left w:w="108" w:type="dxa"/>
          <w:bottom w:w="0" w:type="dxa"/>
          <w:right w:w="108" w:type="dxa"/>
        </w:tblCellMar>
        <w:tblLook w:firstRow="1" w:noVBand="0" w:lastRow="0" w:firstColumn="1" w:lastColumn="0" w:noHBand="0" w:val="00a0"/>
      </w:tblPr>
      <w:tblGrid>
        <w:gridCol w:w="563"/>
        <w:gridCol w:w="2701"/>
        <w:gridCol w:w="3631"/>
        <w:gridCol w:w="2778"/>
      </w:tblGrid>
      <w:tr>
        <w:trPr>
          <w:trHeight w:val="1" w:hRule="atLeast"/>
          <w:cantSplit w:val="true"/>
        </w:trPr>
        <w:tc>
          <w:tcPr>
            <w:tcW w:w="56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Eil. Nr.</w:t>
            </w:r>
          </w:p>
        </w:tc>
        <w:tc>
          <w:tcPr>
            <w:tcW w:w="270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ind w:left="34"/>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7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 xml:space="preserve">Ūkio subjektas, kurio pajėgumais remiamasi – </w:t>
      </w:r>
      <w:r>
        <w:rPr>
          <w:rFonts w:cs="Times New Roman" w:ascii="Times New Roman" w:hAnsi="Times New Roman"/>
          <w:i/>
          <w:sz w:val="24"/>
          <w:szCs w:val="24"/>
        </w:rPr>
        <w:t>tiekėjo sutarties vykdymui pasitelkiamas trečiasis asmuo, kurio kvalifikacija tiekėjas remiasi, kad atitiktų kvalifikacijos reikalavimus (Metodikos 2.9 p.).</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2.2. kvalifikacinių reikalavimų atitikčiai remsiuosi kvazisubtiekėjų** pajėgumais </w:t>
      </w:r>
      <w:r>
        <w:rPr>
          <w:rFonts w:cs="Times New Roman" w:ascii="Times New Roman" w:hAnsi="Times New Roman"/>
          <w:b/>
          <w:bCs/>
          <w:i/>
          <w:sz w:val="24"/>
          <w:szCs w:val="24"/>
        </w:rPr>
        <w:t xml:space="preserve"> (pildyti tuomet, jei pasiūlymo pateikimo momentui jie nėra tiekėjo ar jo pasitelkiamo subtiekėjo darbuotojai, tačiau laimėjimo atveju būtų įdarbinti):</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bl>
      <w:tblPr>
        <w:tblW w:w="9646" w:type="dxa"/>
        <w:jc w:val="left"/>
        <w:tblInd w:w="-111" w:type="dxa"/>
        <w:tblLayout w:type="fixed"/>
        <w:tblCellMar>
          <w:top w:w="0" w:type="dxa"/>
          <w:left w:w="108" w:type="dxa"/>
          <w:bottom w:w="0" w:type="dxa"/>
          <w:right w:w="108" w:type="dxa"/>
        </w:tblCellMar>
        <w:tblLook w:firstRow="1" w:noVBand="0" w:lastRow="0" w:firstColumn="1" w:lastColumn="0" w:noHBand="0" w:val="00a0"/>
      </w:tblPr>
      <w:tblGrid>
        <w:gridCol w:w="570"/>
        <w:gridCol w:w="1637"/>
        <w:gridCol w:w="2373"/>
        <w:gridCol w:w="2468"/>
        <w:gridCol w:w="2598"/>
      </w:tblGrid>
      <w:tr>
        <w:trPr>
          <w:trHeight w:val="548" w:hRule="atLeast"/>
        </w:trPr>
        <w:tc>
          <w:tcPr>
            <w:tcW w:w="570" w:type="dxa"/>
            <w:vMerge w:val="restart"/>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Eil. Nr.</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9076" w:type="dxa"/>
            <w:gridSpan w:val="4"/>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sz w:val="24"/>
                <w:szCs w:val="24"/>
                <w:u w:val="single"/>
              </w:rPr>
            </w:pPr>
            <w:r>
              <w:rPr>
                <w:rFonts w:cs="Times New Roman" w:ascii="Times New Roman" w:hAnsi="Times New Roman"/>
                <w:b/>
                <w:bCs/>
                <w:sz w:val="24"/>
                <w:szCs w:val="24"/>
                <w:u w:val="single"/>
              </w:rPr>
              <w:t>Kvazisubtiekėjai**</w:t>
            </w:r>
          </w:p>
        </w:tc>
      </w:tr>
      <w:tr>
        <w:trPr>
          <w:trHeight w:val="1" w:hRule="atLeast"/>
        </w:trPr>
        <w:tc>
          <w:tcPr>
            <w:tcW w:w="570" w:type="dxa"/>
            <w:vMerge w:val="continue"/>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1637"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Kokiems sutartiniams įsipareigojimams pasitelkiamas kvazisubtiekėjas</w:t>
            </w:r>
          </w:p>
        </w:tc>
        <w:tc>
          <w:tcPr>
            <w:tcW w:w="246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Nurodomas dokumentas pridedamas kartu su pasiūlymu</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3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 </w:t>
            </w:r>
            <w:r>
              <w:rPr>
                <w:rFonts w:cs="Times New Roman" w:ascii="Times New Roman" w:hAnsi="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3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3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bl>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xml:space="preserve">*** - Jei kvazisubtiekėjas bus įdarbintas </w:t>
      </w:r>
      <w:bookmarkStart w:id="61" w:name="_Hlk64018374"/>
      <w:r>
        <w:rPr>
          <w:rFonts w:cs="Times New Roman" w:ascii="Times New Roman" w:hAnsi="Times New Roman"/>
          <w:b/>
          <w:bCs/>
          <w:i/>
          <w:sz w:val="24"/>
          <w:szCs w:val="24"/>
        </w:rPr>
        <w:t xml:space="preserve">ūkio subjekto, kurio pajėgumais remiamasi, </w:t>
      </w:r>
      <w:bookmarkEnd w:id="61"/>
      <w:r>
        <w:rPr>
          <w:rFonts w:cs="Times New Roman" w:ascii="Times New Roman" w:hAnsi="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1296"/>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 xml:space="preserve">2.3. </w:t>
      </w:r>
      <w:r>
        <w:rPr>
          <w:rFonts w:cs="Times New Roman" w:ascii="Times New Roman" w:hAnsi="Times New Roman"/>
          <w:b/>
          <w:sz w:val="24"/>
          <w:szCs w:val="24"/>
          <w:u w:val="single"/>
        </w:rPr>
        <w:t>sutarties vykdymui pasitelksiu subtiekėjus**** (jei jie yra žinomi)</w:t>
      </w:r>
      <w:r>
        <w:rPr>
          <w:rFonts w:cs="Times New Roman" w:ascii="Times New Roman" w:hAnsi="Times New Roman"/>
          <w:sz w:val="24"/>
          <w:szCs w:val="24"/>
        </w:rPr>
        <w:t>:</w:t>
      </w:r>
    </w:p>
    <w:p>
      <w:pPr>
        <w:pStyle w:val="Normal"/>
        <w:tabs>
          <w:tab w:val="clear" w:pos="1296"/>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87" w:type="dxa"/>
        <w:jc w:val="left"/>
        <w:tblInd w:w="-111" w:type="dxa"/>
        <w:tblLayout w:type="fixed"/>
        <w:tblCellMar>
          <w:top w:w="0" w:type="dxa"/>
          <w:left w:w="108" w:type="dxa"/>
          <w:bottom w:w="0" w:type="dxa"/>
          <w:right w:w="108" w:type="dxa"/>
        </w:tblCellMar>
        <w:tblLook w:firstRow="1" w:noVBand="0" w:lastRow="0" w:firstColumn="1" w:lastColumn="0" w:noHBand="0" w:val="00a0"/>
      </w:tblPr>
      <w:tblGrid>
        <w:gridCol w:w="570"/>
        <w:gridCol w:w="3509"/>
        <w:gridCol w:w="5808"/>
      </w:tblGrid>
      <w:tr>
        <w:trPr>
          <w:trHeight w:val="1" w:hRule="atLeast"/>
          <w:cantSplit w:val="true"/>
        </w:trPr>
        <w:tc>
          <w:tcPr>
            <w:tcW w:w="5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Subtiekėjo pavadinimas. Nurodoma: juridinio asmens kodas (jei pasitelkiamas juridinis asmuo), adresas arba nurodomas vardas, pavardė. el. paštas (jei pasitelkiamas fizinis asmuo)</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tabs>
          <w:tab w:val="clear" w:pos="1296"/>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b/>
          <w:i/>
          <w:sz w:val="24"/>
          <w:szCs w:val="24"/>
        </w:rPr>
        <w:t xml:space="preserve">****- Subtiekėjas </w:t>
      </w:r>
      <w:r>
        <w:rPr>
          <w:rFonts w:cs="Times New Roman" w:ascii="Times New Roman" w:hAnsi="Times New Roman"/>
          <w:i/>
          <w:sz w:val="24"/>
          <w:szCs w:val="24"/>
        </w:rPr>
        <w:t>– tiekėjo sutarties vykdymui pasitelkiamas trečiasis asmuo, kurio kvalifikacija tiekėjas nesiremia, kad atitiktų kvalifikacijos reikalavimus (Metodikos 2.7 p.).</w:t>
      </w:r>
    </w:p>
    <w:p>
      <w:pPr>
        <w:pStyle w:val="Normal"/>
        <w:tabs>
          <w:tab w:val="clear" w:pos="1296"/>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p>
      <w:pPr>
        <w:pStyle w:val="Normal"/>
        <w:tabs>
          <w:tab w:val="clear" w:pos="1296"/>
          <w:tab w:val="left" w:pos="0" w:leader="none"/>
          <w:tab w:val="left" w:pos="1080" w:leader="none"/>
        </w:tabs>
        <w:spacing w:lineRule="auto" w:line="240" w:before="0" w:after="0"/>
        <w:ind w:firstLine="450"/>
        <w:rPr>
          <w:rFonts w:ascii="Times New Roman" w:hAnsi="Times New Roman" w:cs="Times New Roman"/>
          <w:sz w:val="24"/>
          <w:szCs w:val="24"/>
        </w:rPr>
      </w:pPr>
      <w:r>
        <w:rPr>
          <w:rFonts w:cs="Times New Roman" w:ascii="Times New Roman" w:hAnsi="Times New Roman"/>
          <w:b/>
          <w:sz w:val="24"/>
          <w:szCs w:val="24"/>
        </w:rPr>
        <w:t xml:space="preserve">2.4. </w:t>
      </w:r>
      <w:r>
        <w:rPr>
          <w:rFonts w:cs="Times New Roman" w:ascii="Times New Roman" w:hAnsi="Times New Roman"/>
          <w:b/>
          <w:sz w:val="24"/>
          <w:szCs w:val="24"/>
          <w:u w:val="single"/>
        </w:rPr>
        <w:t xml:space="preserve">sutarties vykdymui </w:t>
      </w:r>
      <w:r>
        <w:rPr>
          <w:rFonts w:cs="Times New Roman" w:ascii="Times New Roman" w:hAnsi="Times New Roman"/>
          <w:sz w:val="24"/>
          <w:szCs w:val="24"/>
        </w:rPr>
        <w:t>naudosiuosi trečiųjų asmenų***** (jei jie yra žinomi) priemonėmis:</w:t>
      </w:r>
    </w:p>
    <w:p>
      <w:pPr>
        <w:pStyle w:val="Normal"/>
        <w:tabs>
          <w:tab w:val="clear" w:pos="1296"/>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26" w:type="dxa"/>
        <w:jc w:val="left"/>
        <w:tblInd w:w="-111" w:type="dxa"/>
        <w:tblLayout w:type="fixed"/>
        <w:tblCellMar>
          <w:top w:w="0" w:type="dxa"/>
          <w:left w:w="108" w:type="dxa"/>
          <w:bottom w:w="0" w:type="dxa"/>
          <w:right w:w="108" w:type="dxa"/>
        </w:tblCellMar>
        <w:tblLook w:firstRow="1" w:noVBand="0" w:lastRow="0" w:firstColumn="1" w:lastColumn="0" w:noHBand="0" w:val="00a0"/>
      </w:tblPr>
      <w:tblGrid>
        <w:gridCol w:w="564"/>
        <w:gridCol w:w="2598"/>
        <w:gridCol w:w="3038"/>
        <w:gridCol w:w="3625"/>
      </w:tblGrid>
      <w:tr>
        <w:trPr>
          <w:trHeight w:val="1" w:hRule="atLeast"/>
          <w:cantSplit w:val="true"/>
        </w:trPr>
        <w:tc>
          <w:tcPr>
            <w:tcW w:w="564"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25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naudosiuosi trečiaisiais asmenimis*****</w:t>
            </w:r>
          </w:p>
        </w:tc>
        <w:tc>
          <w:tcPr>
            <w:tcW w:w="303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30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jc w:val="both"/>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Tretieji asmenys</w:t>
      </w:r>
      <w:r>
        <w:rPr>
          <w:rFonts w:cs="Times New Roman" w:ascii="Times New Roman" w:hAnsi="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pPr>
        <w:pStyle w:val="Normal"/>
        <w:tabs>
          <w:tab w:val="clear" w:pos="1296"/>
          <w:tab w:val="left" w:pos="810" w:leader="none"/>
        </w:tabs>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1296"/>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b/>
          <w:sz w:val="24"/>
          <w:szCs w:val="24"/>
        </w:rPr>
        <w:t>3.</w:t>
      </w:r>
      <w:r>
        <w:rPr>
          <w:rFonts w:cs="Times New Roman" w:ascii="Times New Roman" w:hAnsi="Times New Roman"/>
          <w:sz w:val="24"/>
          <w:szCs w:val="24"/>
        </w:rPr>
        <w:t xml:space="preserve"> </w:t>
      </w:r>
      <w:r>
        <w:rPr>
          <w:rFonts w:cs="Times New Roman" w:ascii="Times New Roman" w:hAnsi="Times New Roman"/>
          <w:b/>
          <w:sz w:val="24"/>
          <w:szCs w:val="24"/>
        </w:rPr>
        <w:t>Šiame pasiūlyme pateikta ši konfidenciali informacija</w:t>
      </w:r>
      <w:r>
        <w:rPr>
          <w:rFonts w:cs="Times New Roman" w:ascii="Times New Roman" w:hAnsi="Times New Roman"/>
          <w:sz w:val="24"/>
          <w:szCs w:val="24"/>
        </w:rPr>
        <w:t xml:space="preserve"> (</w:t>
      </w:r>
      <w:r>
        <w:rPr>
          <w:rFonts w:cs="Times New Roman" w:ascii="Times New Roman" w:hAnsi="Times New Roman"/>
          <w:i/>
          <w:sz w:val="24"/>
          <w:szCs w:val="24"/>
        </w:rPr>
        <w:t>pildyti tuomet, jei bus pateikta konfidenciali informacija:</w:t>
      </w:r>
    </w:p>
    <w:p>
      <w:pPr>
        <w:pStyle w:val="Normal"/>
        <w:tabs>
          <w:tab w:val="clear" w:pos="1296"/>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i/>
          <w:sz w:val="24"/>
          <w:szCs w:val="24"/>
        </w:rPr>
      </w:r>
    </w:p>
    <w:tbl>
      <w:tblPr>
        <w:tblW w:w="9668" w:type="dxa"/>
        <w:jc w:val="left"/>
        <w:tblInd w:w="-147" w:type="dxa"/>
        <w:tblLayout w:type="fixed"/>
        <w:tblCellMar>
          <w:top w:w="0" w:type="dxa"/>
          <w:left w:w="108" w:type="dxa"/>
          <w:bottom w:w="0" w:type="dxa"/>
          <w:right w:w="108" w:type="dxa"/>
        </w:tblCellMar>
        <w:tblLook w:firstRow="1" w:noVBand="0" w:lastRow="0" w:firstColumn="1" w:lastColumn="0" w:noHBand="0" w:val="00a0"/>
      </w:tblPr>
      <w:tblGrid>
        <w:gridCol w:w="730"/>
        <w:gridCol w:w="3126"/>
        <w:gridCol w:w="1418"/>
        <w:gridCol w:w="4393"/>
      </w:tblGrid>
      <w:tr>
        <w:trPr/>
        <w:tc>
          <w:tcPr>
            <w:tcW w:w="73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Eil. Nr.</w:t>
            </w:r>
          </w:p>
        </w:tc>
        <w:tc>
          <w:tcPr>
            <w:tcW w:w="3126"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vertAlign w:val="superscript"/>
              </w:rPr>
            </w:pPr>
            <w:r>
              <w:rPr>
                <w:rFonts w:cs="Times New Roman" w:ascii="Times New Roman" w:hAnsi="Times New Roman"/>
                <w:b/>
                <w:i/>
                <w:iCs/>
                <w:sz w:val="24"/>
                <w:szCs w:val="24"/>
              </w:rPr>
              <w:t>Paaiškinimas kokia konkrečiai informacija, esanti dokumente yra konfidenciali ir kodėl</w:t>
            </w:r>
            <w:r>
              <w:rPr>
                <w:rFonts w:cs="Times New Roman" w:ascii="Times New Roman" w:hAnsi="Times New Roman"/>
                <w:b/>
                <w:i/>
                <w:iCs/>
                <w:sz w:val="24"/>
                <w:szCs w:val="24"/>
                <w:vertAlign w:val="superscript"/>
              </w:rPr>
              <w:t>1</w:t>
            </w:r>
          </w:p>
        </w:tc>
      </w:tr>
      <w:tr>
        <w:trPr/>
        <w:tc>
          <w:tcPr>
            <w:tcW w:w="7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6" w:type="dxa"/>
            <w:tcBorders>
              <w:top w:val="single" w:sz="4" w:space="0" w:color="000000"/>
              <w:left w:val="single" w:sz="4" w:space="0" w:color="000000"/>
              <w:bottom w:val="single" w:sz="4" w:space="0" w:color="000000"/>
              <w:right w:val="single" w:sz="4" w:space="0" w:color="000000"/>
            </w:tcBorders>
          </w:tcPr>
          <w:p>
            <w:pPr>
              <w:pStyle w:val="Normal"/>
              <w:tabs>
                <w:tab w:val="left" w:pos="1296" w:leader="none"/>
                <w:tab w:val="center" w:pos="4819" w:leader="none"/>
                <w:tab w:val="right" w:pos="9638"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vertAlign w:val="superscript"/>
        </w:rPr>
        <w:t>1</w:t>
      </w:r>
      <w:r>
        <w:rPr>
          <w:rFonts w:cs="Times New Roman" w:ascii="Times New Roman" w:hAnsi="Times New Roman"/>
          <w:i/>
          <w:sz w:val="24"/>
          <w:szCs w:val="24"/>
        </w:rPr>
        <w:t xml:space="preserve"> </w:t>
      </w:r>
      <w:r>
        <w:rPr>
          <w:rFonts w:cs="Times New Roman" w:ascii="Times New Roman" w:hAnsi="Times New Roman"/>
          <w:b/>
          <w:i/>
          <w:sz w:val="24"/>
          <w:szCs w:val="24"/>
        </w:rPr>
        <w:t>Pastaba:</w:t>
      </w:r>
      <w:r>
        <w:rPr>
          <w:rFonts w:cs="Times New Roman" w:ascii="Times New Roman" w:hAnsi="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pPr>
        <w:pStyle w:val="ListParagraph"/>
        <w:spacing w:lineRule="auto" w:line="240" w:before="0" w:after="0"/>
        <w:contextualSpacing/>
        <w:rPr>
          <w:rFonts w:ascii="Times New Roman" w:hAnsi="Times New Roman" w:cs="Times New Roman"/>
          <w:b/>
          <w:iCs/>
          <w:sz w:val="24"/>
          <w:szCs w:val="24"/>
          <w:lang w:val="lt-LT"/>
        </w:rPr>
      </w:pPr>
      <w:r>
        <w:rPr>
          <w:rFonts w:cs="Times New Roman" w:ascii="Times New Roman" w:hAnsi="Times New Roman"/>
          <w:b/>
          <w:iCs/>
          <w:sz w:val="24"/>
          <w:szCs w:val="24"/>
          <w:lang w:val="lt-LT"/>
        </w:rPr>
      </w:r>
    </w:p>
    <w:p>
      <w:pPr>
        <w:pStyle w:val="ListParagraph"/>
        <w:numPr>
          <w:ilvl w:val="0"/>
          <w:numId w:val="0"/>
        </w:numPr>
        <w:spacing w:lineRule="auto" w:line="240" w:before="0" w:after="0"/>
        <w:ind w:hanging="0" w:left="360"/>
        <w:contextualSpacing/>
        <w:jc w:val="both"/>
        <w:rPr>
          <w:rFonts w:ascii="Times New Roman" w:hAnsi="Times New Roman" w:cs="Times New Roman"/>
          <w:b/>
          <w:iCs/>
          <w:sz w:val="24"/>
          <w:szCs w:val="24"/>
        </w:rPr>
      </w:pPr>
      <w:r>
        <w:rPr>
          <w:rFonts w:cs="Times New Roman" w:ascii="Times New Roman" w:hAnsi="Times New Roman"/>
          <w:b/>
          <w:iCs/>
          <w:sz w:val="24"/>
          <w:szCs w:val="24"/>
          <w:lang w:val="en-US"/>
        </w:rPr>
        <w:t xml:space="preserve">4. </w:t>
      </w:r>
      <w:r>
        <w:rPr>
          <w:rFonts w:cs="Times New Roman" w:ascii="Times New Roman" w:hAnsi="Times New Roman"/>
          <w:b/>
          <w:iCs/>
          <w:sz w:val="24"/>
          <w:szCs w:val="24"/>
        </w:rPr>
        <w:t>KAINA</w:t>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sz w:val="24"/>
          <w:szCs w:val="24"/>
        </w:rPr>
        <w:t xml:space="preserve">Mes siūlome pirkimo </w:t>
      </w:r>
      <w:r>
        <w:rPr>
          <w:rFonts w:cs="Times New Roman" w:ascii="Times New Roman" w:hAnsi="Times New Roman"/>
          <w:b/>
          <w:bCs/>
          <w:sz w:val="24"/>
          <w:szCs w:val="24"/>
        </w:rPr>
        <w:t>objektą už šią kainą:</w:t>
      </w:r>
    </w:p>
    <w:p>
      <w:pPr>
        <w:pStyle w:val="Normal"/>
        <w:widowControl w:val="false"/>
        <w:shd w:val="clear" w:color="auto" w:fill="FFFFFF" w:themeFill="background1"/>
        <w:tabs>
          <w:tab w:val="clear" w:pos="1296"/>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tbl>
      <w:tblPr>
        <w:tblW w:w="9495" w:type="dxa"/>
        <w:jc w:val="left"/>
        <w:tblInd w:w="-118" w:type="dxa"/>
        <w:tblLayout w:type="fixed"/>
        <w:tblCellMar>
          <w:top w:w="0" w:type="dxa"/>
          <w:left w:w="108" w:type="dxa"/>
          <w:bottom w:w="0" w:type="dxa"/>
          <w:right w:w="108" w:type="dxa"/>
        </w:tblCellMar>
        <w:tblLook w:firstRow="1" w:noVBand="0" w:lastRow="0" w:firstColumn="1" w:lastColumn="0" w:noHBand="0" w:val="00a0"/>
      </w:tblPr>
      <w:tblGrid>
        <w:gridCol w:w="709"/>
        <w:gridCol w:w="3822"/>
        <w:gridCol w:w="1560"/>
        <w:gridCol w:w="1412"/>
        <w:gridCol w:w="1992"/>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0"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200" w:leader="none"/>
              </w:tabs>
              <w:spacing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val="en-US" w:eastAsia="en-US"/>
                <w14:ligatures w14:val="standardContextual"/>
              </w:rPr>
              <w:t>Vieneto</w:t>
            </w:r>
            <w:r>
              <w:rPr>
                <w:rFonts w:cs="Times New Roman" w:ascii="Times New Roman" w:hAnsi="Times New Roman"/>
                <w:kern w:val="2"/>
                <w:sz w:val="24"/>
                <w:szCs w:val="24"/>
                <w:lang w:eastAsia="en-US"/>
                <w14:ligatures w14:val="standardContextual"/>
              </w:rPr>
              <w:t xml:space="preserve"> įkainis, Eur be PVM</w:t>
            </w:r>
          </w:p>
        </w:tc>
        <w:tc>
          <w:tcPr>
            <w:tcW w:w="141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Kiekis, </w:t>
            </w:r>
            <w:r>
              <w:rPr>
                <w:rFonts w:cs="Times New Roman" w:ascii="Times New Roman" w:hAnsi="Times New Roman"/>
                <w:kern w:val="2"/>
                <w:sz w:val="24"/>
                <w:szCs w:val="24"/>
                <w:lang w:val="en-US" w:eastAsia="en-US"/>
                <w14:ligatures w14:val="standardContextual"/>
              </w:rPr>
              <w:t>vnt</w:t>
            </w:r>
          </w:p>
        </w:tc>
        <w:tc>
          <w:tcPr>
            <w:tcW w:w="199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2</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3</w:t>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4</w:t>
            </w:r>
          </w:p>
        </w:tc>
        <w:tc>
          <w:tcPr>
            <w:tcW w:w="199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cs="Times New Roman" w:ascii="Times New Roman" w:hAnsi="Times New Roman"/>
                <w:b w:val="false"/>
                <w:bCs w:val="false"/>
                <w:kern w:val="2"/>
                <w:sz w:val="22"/>
                <w:szCs w:val="22"/>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Daugkartinis maišelis</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600</w:t>
            </w:r>
          </w:p>
        </w:tc>
        <w:tc>
          <w:tcPr>
            <w:tcW w:w="199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cs="Times New Roman" w:ascii="Times New Roman" w:hAnsi="Times New Roman"/>
                <w:b w:val="false"/>
                <w:bCs w:val="false"/>
                <w:kern w:val="2"/>
                <w:sz w:val="22"/>
                <w:szCs w:val="22"/>
                <w:lang w:eastAsia="en-US"/>
                <w14:ligatures w14:val="standardContextual"/>
              </w:rPr>
              <w:t>2.</w:t>
            </w:r>
          </w:p>
        </w:tc>
        <w:tc>
          <w:tcPr>
            <w:tcW w:w="382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Termo puodelis</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300</w:t>
            </w:r>
          </w:p>
        </w:tc>
        <w:tc>
          <w:tcPr>
            <w:tcW w:w="199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ascii="Times New Roman" w:hAnsi="Times New Roman"/>
                <w:b w:val="false"/>
                <w:bCs w:val="false"/>
                <w:sz w:val="22"/>
                <w:szCs w:val="22"/>
                <w:lang w:val="en-US"/>
              </w:rPr>
              <w:t>3.</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Gertuvė</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2"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300</w:t>
            </w:r>
          </w:p>
        </w:tc>
        <w:tc>
          <w:tcPr>
            <w:tcW w:w="1992"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ascii="Times New Roman" w:hAnsi="Times New Roman"/>
                <w:b w:val="false"/>
                <w:bCs w:val="false"/>
                <w:sz w:val="22"/>
                <w:szCs w:val="22"/>
                <w:lang w:val="en-US"/>
              </w:rPr>
              <w:t>4.</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Spalvą keičiantis puodelis</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2"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300</w:t>
            </w:r>
          </w:p>
        </w:tc>
        <w:tc>
          <w:tcPr>
            <w:tcW w:w="1992"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ascii="Times New Roman" w:hAnsi="Times New Roman"/>
                <w:b w:val="false"/>
                <w:bCs w:val="false"/>
                <w:sz w:val="22"/>
                <w:szCs w:val="22"/>
                <w:lang w:val="en-US"/>
              </w:rPr>
              <w:t>5.</w:t>
            </w:r>
          </w:p>
        </w:tc>
        <w:tc>
          <w:tcPr>
            <w:tcW w:w="3822" w:type="dxa"/>
            <w:tcBorders>
              <w:left w:val="single" w:sz="4" w:space="0" w:color="000000"/>
              <w:bottom w:val="single" w:sz="4" w:space="0" w:color="000000"/>
              <w:right w:val="single" w:sz="4" w:space="0" w:color="000000"/>
            </w:tcBorders>
          </w:tcPr>
          <w:p>
            <w:pPr>
              <w:pStyle w:val="Normal"/>
              <w:widowControl/>
              <w:suppressAutoHyphens w:val="true"/>
              <w:bidi w:val="0"/>
              <w:spacing w:lineRule="auto" w:line="360" w:before="0" w:after="0"/>
              <w:ind w:hanging="0" w:left="89" w:right="0"/>
              <w:jc w:val="left"/>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Belaidis išmaniojo telefono įkroviklis</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2"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200</w:t>
            </w:r>
          </w:p>
        </w:tc>
        <w:tc>
          <w:tcPr>
            <w:tcW w:w="1992"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sz w:val="22"/>
                <w:szCs w:val="22"/>
              </w:rPr>
            </w:pPr>
            <w:r>
              <w:rPr>
                <w:rFonts w:ascii="Times New Roman" w:hAnsi="Times New Roman"/>
                <w:sz w:val="22"/>
                <w:szCs w:val="22"/>
                <w:lang w:val="en-US"/>
              </w:rPr>
              <w:t>6.</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sz w:val="22"/>
                <w:szCs w:val="22"/>
              </w:rPr>
            </w:pPr>
            <w:r>
              <w:rPr>
                <w:rFonts w:eastAsia="Times New Roman" w:cs="Times New Roman" w:ascii="Times New Roman" w:hAnsi="Times New Roman"/>
                <w:color w:themeColor="text1" w:val="000000"/>
                <w:kern w:val="0"/>
                <w:sz w:val="22"/>
                <w:szCs w:val="22"/>
                <w:lang w:val="en-US" w:eastAsia="ja-JP" w:bidi="ar-SA"/>
              </w:rPr>
              <w:t>Kuprinė kompiuteriui</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c>
          <w:tcPr>
            <w:tcW w:w="1412"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150</w:t>
            </w:r>
          </w:p>
        </w:tc>
        <w:tc>
          <w:tcPr>
            <w:tcW w:w="1992"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sz w:val="22"/>
                <w:szCs w:val="22"/>
              </w:rPr>
            </w:pPr>
            <w:r>
              <w:rPr>
                <w:rFonts w:ascii="Times New Roman" w:hAnsi="Times New Roman"/>
                <w:sz w:val="22"/>
                <w:szCs w:val="22"/>
                <w:lang w:val="en-US"/>
              </w:rPr>
              <w:t>7.</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sz w:val="22"/>
                <w:szCs w:val="22"/>
              </w:rPr>
            </w:pPr>
            <w:r>
              <w:rPr>
                <w:rFonts w:eastAsia="Times New Roman" w:cs="Times New Roman" w:ascii="Times New Roman" w:hAnsi="Times New Roman"/>
                <w:color w:themeColor="text1" w:val="000000"/>
                <w:kern w:val="0"/>
                <w:sz w:val="22"/>
                <w:szCs w:val="22"/>
                <w:lang w:val="en-US" w:eastAsia="ja-JP" w:bidi="ar-SA"/>
              </w:rPr>
              <w:t>Kojinės</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c>
          <w:tcPr>
            <w:tcW w:w="1412"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650</w:t>
            </w:r>
          </w:p>
        </w:tc>
        <w:tc>
          <w:tcPr>
            <w:tcW w:w="1992"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sz w:val="22"/>
                <w:szCs w:val="22"/>
              </w:rPr>
            </w:pPr>
            <w:r>
              <w:rPr>
                <w:rFonts w:ascii="Times New Roman" w:hAnsi="Times New Roman"/>
                <w:sz w:val="22"/>
                <w:szCs w:val="22"/>
                <w:lang w:val="en-US"/>
              </w:rPr>
              <w:t>8.</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sz w:val="22"/>
                <w:szCs w:val="22"/>
              </w:rPr>
            </w:pPr>
            <w:r>
              <w:rPr>
                <w:rFonts w:eastAsia="Times New Roman" w:cs="Times New Roman" w:ascii="Times New Roman" w:hAnsi="Times New Roman"/>
                <w:color w:themeColor="text1" w:val="000000"/>
                <w:kern w:val="0"/>
                <w:sz w:val="22"/>
                <w:szCs w:val="22"/>
                <w:lang w:val="en-US" w:eastAsia="ja-JP" w:bidi="ar-SA"/>
              </w:rPr>
              <w:t>Atšvaitas</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c>
          <w:tcPr>
            <w:tcW w:w="1412"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3000</w:t>
            </w:r>
          </w:p>
        </w:tc>
        <w:tc>
          <w:tcPr>
            <w:tcW w:w="1992"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bl>
    <w:tbl>
      <w:tblPr>
        <w:tblStyle w:val="Lentelstinklelis"/>
        <w:tblW w:w="9493"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tabs>
          <w:tab w:val="clear" w:pos="1296"/>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0"/>
        </w:numPr>
        <w:spacing w:lineRule="auto" w:line="240" w:before="0" w:after="0"/>
        <w:ind w:hanging="0" w:left="360"/>
        <w:contextualSpacing/>
        <w:jc w:val="both"/>
        <w:rPr>
          <w:b/>
          <w:bCs/>
        </w:rPr>
      </w:pPr>
      <w:r>
        <w:rPr>
          <w:rFonts w:cs="Times New Roman" w:ascii="Times New Roman" w:hAnsi="Times New Roman"/>
          <w:b/>
          <w:bCs/>
          <w:sz w:val="24"/>
          <w:szCs w:val="24"/>
          <w:lang w:val="en-US"/>
        </w:rPr>
        <w:t xml:space="preserve">5. </w:t>
      </w:r>
      <w:r>
        <w:rPr>
          <w:rFonts w:cs="Times New Roman" w:ascii="Times New Roman" w:hAnsi="Times New Roman"/>
          <w:b/>
          <w:bCs/>
          <w:sz w:val="24"/>
          <w:szCs w:val="24"/>
          <w:lang w:val="fr-FR"/>
        </w:rPr>
        <w:t xml:space="preserve">Kartu su pasiūlymu pateikiami šie dokumentai: </w:t>
      </w:r>
    </w:p>
    <w:tbl>
      <w:tblPr>
        <w:tblW w:w="9607" w:type="dxa"/>
        <w:jc w:val="left"/>
        <w:tblInd w:w="-113" w:type="dxa"/>
        <w:tblLayout w:type="fixed"/>
        <w:tblCellMar>
          <w:top w:w="0" w:type="dxa"/>
          <w:left w:w="108" w:type="dxa"/>
          <w:bottom w:w="0" w:type="dxa"/>
          <w:right w:w="108" w:type="dxa"/>
        </w:tblCellMar>
        <w:tblLook w:firstRow="1" w:noVBand="0" w:lastRow="0" w:firstColumn="1" w:lastColumn="0" w:noHBand="0" w:val="00a0"/>
      </w:tblPr>
      <w:tblGrid>
        <w:gridCol w:w="1119"/>
        <w:gridCol w:w="7070"/>
        <w:gridCol w:w="1418"/>
      </w:tblGrid>
      <w:tr>
        <w:trPr/>
        <w:tc>
          <w:tcPr>
            <w:tcW w:w="111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Dokumento puslapių skaičius</w:t>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trike/>
                <w:sz w:val="24"/>
                <w:szCs w:val="24"/>
              </w:rPr>
            </w:pPr>
            <w:r>
              <w:rPr>
                <w:rFonts w:eastAsia="Arial Unicode MS" w:cs="Times New Roman" w:ascii="Times New Roman" w:hAnsi="Times New Roman"/>
                <w:bCs/>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sz w:val="24"/>
          <w:szCs w:val="24"/>
          <w:lang w:val="en-US"/>
        </w:rPr>
        <w:t>6</w:t>
      </w:r>
      <w:r>
        <w:rPr>
          <w:rFonts w:cs="Times New Roman" w:ascii="Times New Roman" w:hAnsi="Times New Roman"/>
          <w:b/>
          <w:bCs/>
          <w:sz w:val="24"/>
          <w:szCs w:val="24"/>
        </w:rPr>
        <w:t>. Pasiūlymas galioja</w:t>
      </w:r>
      <w:r>
        <w:rPr>
          <w:rFonts w:cs="Times New Roman" w:ascii="Times New Roman" w:hAnsi="Times New Roman"/>
          <w:sz w:val="24"/>
          <w:szCs w:val="24"/>
        </w:rPr>
        <w:t xml:space="preserve"> _________________________________ </w:t>
      </w:r>
    </w:p>
    <w:p>
      <w:pPr>
        <w:pStyle w:val="Normal"/>
        <w:shd w:val="clear" w:color="auto" w:fill="FFFFFF"/>
        <w:spacing w:lineRule="auto" w:line="240" w:before="0" w:after="0"/>
        <w:ind w:firstLine="720"/>
        <w:jc w:val="both"/>
        <w:rPr>
          <w:rFonts w:ascii="Times New Roman" w:hAnsi="Times New Roman" w:cs="Times New Roman"/>
          <w:sz w:val="24"/>
          <w:szCs w:val="24"/>
        </w:rPr>
      </w:pPr>
      <w:r>
        <w:rPr>
          <w:rFonts w:cs="Times New Roman" w:ascii="Times New Roman" w:hAnsi="Times New Roman"/>
          <w:bCs/>
          <w:i/>
          <w:sz w:val="24"/>
          <w:szCs w:val="24"/>
        </w:rPr>
        <w:t>(pasiūlymas turi galioti ne trumpiau nei iki Pirkimo sąlygų 1 priedo „Terminai“</w:t>
      </w:r>
      <w:r>
        <w:rPr>
          <w:rFonts w:cs="Times New Roman" w:ascii="Times New Roman" w:hAnsi="Times New Roman"/>
          <w:bCs/>
          <w:i/>
          <w:sz w:val="24"/>
          <w:szCs w:val="24"/>
          <w:lang w:val="en-US"/>
        </w:rPr>
        <w:t xml:space="preserve"> 4 </w:t>
      </w:r>
      <w:r>
        <w:rPr>
          <w:rFonts w:cs="Times New Roman" w:ascii="Times New Roman" w:hAnsi="Times New Roman"/>
          <w:bCs/>
          <w:i/>
          <w:sz w:val="24"/>
          <w:szCs w:val="24"/>
        </w:rPr>
        <w:t>punkte nustatyto termino. Jeigu pasiūlyme nenurodytas jo galiojimo laikas, laikoma, kad pasiūlymas galioja tiek, kiek numatyta pirkimo dokumentuose).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855"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3880"/>
        <w:gridCol w:w="607"/>
        <w:gridCol w:w="1989"/>
        <w:gridCol w:w="712"/>
        <w:gridCol w:w="2667"/>
      </w:tblGrid>
      <w:tr>
        <w:trPr>
          <w:trHeight w:val="186" w:hRule="atLeast"/>
        </w:trPr>
        <w:tc>
          <w:tcPr>
            <w:tcW w:w="3880" w:type="dxa"/>
            <w:tcBorders>
              <w:top w:val="single" w:sz="4" w:space="0" w:color="000000"/>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i/>
                <w:sz w:val="24"/>
                <w:szCs w:val="24"/>
                <w:vertAlign w:val="superscript"/>
              </w:rPr>
              <w:t>(Tiekėjo arba jo įgalioto asmens pareigų pavadinimas)</w:t>
            </w:r>
          </w:p>
        </w:tc>
        <w:tc>
          <w:tcPr>
            <w:tcW w:w="607"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1989" w:type="dxa"/>
            <w:tcBorders>
              <w:top w:val="single" w:sz="4" w:space="0" w:color="000000"/>
            </w:tcBorders>
          </w:tcPr>
          <w:p>
            <w:pPr>
              <w:pStyle w:val="Normal"/>
              <w:spacing w:lineRule="auto" w:line="240" w:before="0" w:after="0"/>
              <w:jc w:val="center"/>
              <w:rPr>
                <w:rFonts w:ascii="Times New Roman" w:hAnsi="Times New Roman" w:cs="Times New Roman"/>
                <w:sz w:val="24"/>
                <w:szCs w:val="24"/>
                <w:vertAlign w:val="superscript"/>
              </w:rPr>
            </w:pPr>
            <w:r>
              <w:rPr>
                <w:rFonts w:cs="Times New Roman" w:ascii="Times New Roman" w:hAnsi="Times New Roman"/>
                <w:i/>
                <w:sz w:val="24"/>
                <w:szCs w:val="24"/>
                <w:vertAlign w:val="superscript"/>
              </w:rPr>
              <w:t>(Parašas)</w:t>
            </w:r>
          </w:p>
        </w:tc>
        <w:tc>
          <w:tcPr>
            <w:tcW w:w="712"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2667" w:type="dxa"/>
            <w:tcBorders>
              <w:top w:val="single" w:sz="4" w:space="0" w:color="000000"/>
            </w:tcBorders>
          </w:tcPr>
          <w:p>
            <w:pPr>
              <w:pStyle w:val="Normal"/>
              <w:spacing w:lineRule="auto" w:line="240" w:before="0" w:after="0"/>
              <w:jc w:val="right"/>
              <w:rPr>
                <w:rFonts w:ascii="Times New Roman" w:hAnsi="Times New Roman" w:cs="Times New Roman"/>
                <w:sz w:val="24"/>
                <w:szCs w:val="24"/>
                <w:vertAlign w:val="superscript"/>
              </w:rPr>
            </w:pPr>
            <w:r>
              <w:rPr>
                <w:rFonts w:cs="Times New Roman" w:ascii="Times New Roman" w:hAnsi="Times New Roman"/>
                <w:i/>
                <w:sz w:val="24"/>
                <w:szCs w:val="24"/>
                <w:vertAlign w:val="superscript"/>
              </w:rPr>
              <w:t>(Vardas, pavardė)</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center"/>
        <w:rPr>
          <w:rFonts w:ascii="Times New Roman" w:hAnsi="Times New Roman" w:cs="Times New Roman"/>
          <w:color w:val="7030A0"/>
          <w:sz w:val="24"/>
          <w:szCs w:val="24"/>
        </w:rPr>
      </w:pPr>
      <w:r>
        <w:rPr>
          <w:rFonts w:cs="Times New Roman" w:ascii="Times New Roman" w:hAnsi="Times New Roman"/>
          <w:sz w:val="24"/>
          <w:szCs w:val="24"/>
        </w:rPr>
        <w:t>__________</w:t>
      </w:r>
    </w:p>
    <w:p>
      <w:pPr>
        <w:pStyle w:val="Normal"/>
        <w:spacing w:before="0" w:after="0"/>
        <w:rPr>
          <w:rFonts w:ascii="Times New Roman" w:hAnsi="Times New Roman" w:cs="Times New Roman"/>
          <w:color w:val="7030A0"/>
          <w:sz w:val="24"/>
          <w:szCs w:val="24"/>
        </w:rPr>
      </w:pPr>
      <w:r>
        <w:rPr>
          <w:rFonts w:cs="Times New Roman" w:ascii="Times New Roman" w:hAnsi="Times New Roman"/>
          <w:color w:val="7030A0"/>
          <w:sz w:val="24"/>
          <w:szCs w:val="24"/>
        </w:rPr>
      </w:r>
      <w:r>
        <w:br w:type="page"/>
      </w:r>
    </w:p>
    <w:p>
      <w:pPr>
        <w:pStyle w:val="Heading2"/>
        <w:spacing w:before="0" w:after="0"/>
        <w:ind w:left="5103"/>
        <w:rPr>
          <w:rFonts w:ascii="Times New Roman" w:hAnsi="Times New Roman" w:eastAsia="Calibri" w:cs="Times New Roman"/>
          <w:color w:val="0070C0"/>
          <w:sz w:val="24"/>
          <w:szCs w:val="24"/>
        </w:rPr>
      </w:pPr>
      <w:bookmarkStart w:id="62" w:name="_Toc196987789"/>
      <w:bookmarkStart w:id="63" w:name="_Ref40278562"/>
      <w:bookmarkStart w:id="64" w:name="_Ref39484039"/>
      <w:r>
        <w:rPr>
          <w:rFonts w:eastAsia="Calibri" w:cs="Times New Roman" w:ascii="Times New Roman" w:hAnsi="Times New Roman"/>
          <w:color w:val="0070C0"/>
          <w:sz w:val="24"/>
          <w:szCs w:val="24"/>
        </w:rPr>
        <w:t>Pirkimo sąlygų 7 priedas „Pasiūlymų vertinimo kriterijai ir sąlygos“</w:t>
      </w:r>
      <w:bookmarkEnd w:id="62"/>
      <w:bookmarkEnd w:id="63"/>
      <w:bookmarkEnd w:id="64"/>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r>
    </w:p>
    <w:p>
      <w:pPr>
        <w:pStyle w:val="Subtitle"/>
        <w:spacing w:before="0" w:after="0"/>
        <w:jc w:val="center"/>
        <w:rPr>
          <w:rFonts w:ascii="Times New Roman" w:hAnsi="Times New Roman" w:cs="Times New Roman"/>
          <w:caps w:val="false"/>
          <w:smallCaps w:val="false"/>
          <w:sz w:val="24"/>
          <w:szCs w:val="24"/>
        </w:rPr>
      </w:pPr>
      <w:r>
        <w:rPr>
          <w:rFonts w:cs="Times New Roman" w:ascii="Times New Roman" w:hAnsi="Times New Roman"/>
          <w:caps w:val="false"/>
          <w:smallCaps w:val="false"/>
          <w:sz w:val="24"/>
          <w:szCs w:val="24"/>
        </w:rPr>
        <w:t>PASIŪLYMŲ VERTINIMO KRITERIJAI ir SĄLYGOS</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numPr>
          <w:ilvl w:val="0"/>
          <w:numId w:val="23"/>
        </w:numPr>
        <w:tabs>
          <w:tab w:val="clear" w:pos="1296"/>
          <w:tab w:val="left" w:pos="1134" w:leader="none"/>
        </w:tabs>
        <w:spacing w:lineRule="auto" w:line="240" w:before="0" w:after="0"/>
        <w:ind w:firstLine="709" w:left="0"/>
        <w:jc w:val="both"/>
        <w:rPr>
          <w:rFonts w:ascii="Times New Roman" w:hAnsi="Times New Roman" w:cs="Times New Roman"/>
          <w:sz w:val="24"/>
          <w:szCs w:val="24"/>
        </w:rPr>
      </w:pPr>
      <w:r>
        <w:rPr>
          <w:rFonts w:cs="Times New Roman" w:ascii="Times New Roman" w:hAnsi="Times New Roman"/>
          <w:sz w:val="24"/>
          <w:szCs w:val="24"/>
        </w:rPr>
        <w:t>Perkančioji organizacija ekonomiškai naudingiausią pasiūlymą išrenka pagal mažiausią kainą.</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suppressAutoHyphens w:val="true"/>
        <w:spacing w:lineRule="auto" w:line="240" w:before="0" w:after="0"/>
        <w:ind w:left="851"/>
        <w:contextualSpacing w:val="false"/>
        <w:jc w:val="both"/>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r>
      <w:r>
        <w:br w:type="page"/>
      </w:r>
    </w:p>
    <w:p>
      <w:pPr>
        <w:pStyle w:val="Heading2"/>
        <w:spacing w:before="0" w:after="0"/>
        <w:ind w:left="5103"/>
        <w:rPr>
          <w:rFonts w:ascii="Times New Roman" w:hAnsi="Times New Roman"/>
          <w:sz w:val="24"/>
          <w:szCs w:val="24"/>
        </w:rPr>
      </w:pPr>
      <w:bookmarkStart w:id="65" w:name="_Toc196987789_Copy_1"/>
      <w:bookmarkStart w:id="66" w:name="_Ref40278562_Copy_1"/>
      <w:bookmarkStart w:id="67" w:name="_Ref39484039_Copy_1"/>
      <w:r>
        <w:rPr>
          <w:rFonts w:eastAsia="Calibri" w:ascii="Times New Roman" w:hAnsi="Times New Roman"/>
          <w:color w:val="0070C0"/>
          <w:sz w:val="24"/>
          <w:szCs w:val="24"/>
        </w:rPr>
        <w:t>Pirkimo sąlygų</w:t>
      </w:r>
      <w:r>
        <w:rPr>
          <w:rFonts w:eastAsia="Calibri" w:ascii="Times New Roman" w:hAnsi="Times New Roman"/>
          <w:color w:val="0070C0"/>
          <w:sz w:val="24"/>
          <w:szCs w:val="24"/>
          <w:lang w:val="en-US"/>
        </w:rPr>
        <w:t xml:space="preserve"> 8 </w:t>
      </w:r>
      <w:r>
        <w:rPr>
          <w:rFonts w:eastAsia="Calibri" w:ascii="Times New Roman" w:hAnsi="Times New Roman"/>
          <w:color w:val="0070C0"/>
          <w:sz w:val="24"/>
          <w:szCs w:val="24"/>
        </w:rPr>
        <w:t>priedas „</w:t>
      </w:r>
      <w:r>
        <w:rPr>
          <w:rFonts w:eastAsia="Calibri" w:ascii="Times New Roman" w:hAnsi="Times New Roman"/>
          <w:color w:val="0070C0"/>
          <w:sz w:val="24"/>
          <w:szCs w:val="24"/>
          <w:lang w:val="en-US"/>
        </w:rPr>
        <w:t>Sutarties projektas</w:t>
      </w:r>
      <w:r>
        <w:rPr>
          <w:rFonts w:eastAsia="Calibri" w:ascii="Times New Roman" w:hAnsi="Times New Roman"/>
          <w:color w:val="0070C0"/>
          <w:sz w:val="24"/>
          <w:szCs w:val="24"/>
        </w:rPr>
        <w:t>“</w:t>
      </w:r>
      <w:bookmarkEnd w:id="65"/>
      <w:bookmarkEnd w:id="66"/>
      <w:bookmarkEnd w:id="67"/>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Pateikiama atskirame priede</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__________</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sectPr>
      <w:headerReference w:type="default" r:id="rId16"/>
      <w:headerReference w:type="first" r:id="rId17"/>
      <w:footerReference w:type="default" r:id="rId18"/>
      <w:footerReference w:type="first" r:id="rId19"/>
      <w:footnotePr>
        <w:numFmt w:val="decimal"/>
      </w:footnotePr>
      <w:type w:val="nextPage"/>
      <w:pgSz w:w="12240" w:h="15840"/>
      <w:pgMar w:left="1701" w:right="567" w:gutter="0" w:header="720" w:top="1134" w:footer="720" w:bottom="777"/>
      <w:pgNumType w:start="22" w:fmt="decimal"/>
      <w:formProt w:val="false"/>
      <w:titlePg/>
      <w:textDirection w:val="lrTb"/>
      <w:docGrid w:type="default" w:linePitch="36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ptos">
    <w:charset w:val="00"/>
    <w:family w:val="roman"/>
    <w:pitch w:val="variable"/>
  </w:font>
  <w:font w:name="Courier New">
    <w:charset w:val="01"/>
    <w:family w:val="modern"/>
    <w:pitch w:val="fixed"/>
  </w:font>
  <w:font w:name="Wingdings">
    <w:charset w:val="02"/>
    <w:family w:val="auto"/>
    <w:pitch w:val="variable"/>
  </w:font>
  <w:font w:name="Trebuchet MS">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4</w:t>
        </w:r>
        <w:r>
          <w:rPr/>
          <w:fldChar w:fldCharType="end"/>
        </w:r>
      </w:p>
    </w:sdtContent>
  </w:sdt>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50</w:t>
        </w:r>
        <w:r>
          <w:rPr/>
          <w:fldChar w:fldCharType="end"/>
        </w:r>
      </w:p>
    </w:sdtContent>
  </w:sdt>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rPr>
          <w:rFonts w:ascii="Times New Roman" w:hAnsi="Times New Roman" w:cs="Times New Roman"/>
        </w:rPr>
      </w:pPr>
      <w:r>
        <w:rPr>
          <w:rStyle w:val="FootnoteCharacters"/>
        </w:rPr>
        <w:footnoteRef/>
      </w:r>
      <w:r>
        <w:rPr>
          <w:rFonts w:cs="Times New Roman" w:ascii="Times New Roman" w:hAnsi="Times New Roman"/>
        </w:rPr>
        <w:t xml:space="preserve"> </w:t>
      </w:r>
      <w:r>
        <w:rPr>
          <w:rFonts w:cs="Times New Roman" w:ascii="Times New Roman" w:hAnsi="Times New Roman"/>
        </w:rPr>
        <w:t>Tiekėjo ir ūkio subjekto, kurio pajėgumais remiamasi kvalifikacijai pagrįsti.</w:t>
      </w:r>
    </w:p>
  </w:footnote>
  <w:footnote w:id="3">
    <w:p>
      <w:pPr>
        <w:pStyle w:val="FootnoteText"/>
        <w:spacing w:before="0" w:after="160"/>
        <w:rPr/>
      </w:pPr>
      <w:r>
        <w:rPr>
          <w:rStyle w:val="FootnoteCharacters"/>
        </w:rPr>
        <w:footnoteRef/>
      </w:r>
      <w:r>
        <w:rPr/>
        <w:t xml:space="preserve"> </w:t>
      </w:r>
      <w:r>
        <w:rPr/>
        <w:t>terminas taikomas išskyrus VPĮ 102 str. 3-4 p. nuostata</w:t>
      </w:r>
    </w:p>
  </w:footnote>
  <w:footnote w:id="4">
    <w:p>
      <w:pPr>
        <w:pStyle w:val="FootnoteText"/>
        <w:ind w:right="49"/>
        <w:jc w:val="both"/>
        <w:rPr>
          <w:rFonts w:ascii="Times New Roman" w:hAnsi="Times New Roman" w:cs="Times New Roman"/>
          <w:i/>
          <w:i/>
          <w:iCs/>
        </w:rPr>
      </w:pPr>
      <w:r>
        <w:rPr>
          <w:rStyle w:val="FootnoteCharacters"/>
        </w:rPr>
        <w:footnoteRef/>
      </w:r>
      <w:r>
        <w:rPr>
          <w:rFonts w:eastAsia="Yu Mincho" w:cs="Arial"/>
          <w:i/>
          <w:iCs/>
        </w:rPr>
        <w:t xml:space="preserve"> </w:t>
      </w:r>
      <w:r>
        <w:rPr>
          <w:rFonts w:eastAsia="Yu Mincho" w:cs="Times New Roman"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15"/>
        </w:numPr>
        <w:spacing w:lineRule="auto" w:line="240" w:before="0" w:after="0"/>
        <w:ind w:hanging="360" w:left="720" w:right="49"/>
        <w:jc w:val="both"/>
        <w:rPr>
          <w:rFonts w:ascii="Times New Roman" w:hAnsi="Times New Roman" w:eastAsia="Yu Mincho" w:cs="Times New Roman"/>
          <w:i/>
          <w:i/>
          <w:iCs/>
        </w:rPr>
      </w:pPr>
      <w:r>
        <w:rPr>
          <w:rFonts w:eastAsia="Yu Mincho" w:cs="Times New Roman" w:ascii="Times New Roman" w:hAnsi="Times New Roman"/>
          <w:i/>
          <w:iCs/>
        </w:rPr>
        <w:t xml:space="preserve">priesaikos deklaracija; </w:t>
      </w:r>
    </w:p>
    <w:p>
      <w:pPr>
        <w:pStyle w:val="FootnoteText"/>
        <w:numPr>
          <w:ilvl w:val="0"/>
          <w:numId w:val="15"/>
        </w:numPr>
        <w:spacing w:lineRule="auto" w:line="240" w:before="0" w:after="0"/>
        <w:ind w:hanging="360" w:left="720" w:right="49"/>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pPr>
        <w:pStyle w:val="FootnoteText"/>
        <w:spacing w:before="0" w:after="0"/>
        <w:ind w:right="51"/>
        <w:jc w:val="both"/>
        <w:rPr>
          <w:rFonts w:ascii="Times New Roman" w:hAnsi="Times New Roman" w:cs="Times New Roman"/>
        </w:rPr>
      </w:pPr>
      <w:r>
        <w:rPr>
          <w:rStyle w:val="FootnoteCharacters"/>
        </w:rPr>
        <w:footnoteRef/>
      </w:r>
      <w:r>
        <w:rPr>
          <w:rFonts w:eastAsia="Yu Mincho" w:cs="Arial"/>
        </w:rPr>
        <w:t xml:space="preserve"> </w:t>
      </w:r>
      <w:r>
        <w:rPr>
          <w:rFonts w:eastAsia="Yu Mincho" w:cs="Times New Roman" w:ascii="Times New Roman" w:hAnsi="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16"/>
        </w:numPr>
        <w:spacing w:lineRule="auto" w:line="240" w:before="0" w:after="0"/>
        <w:ind w:hanging="360" w:left="720" w:right="51"/>
        <w:jc w:val="both"/>
        <w:rPr>
          <w:rFonts w:ascii="Times New Roman" w:hAnsi="Times New Roman" w:eastAsia="Yu Mincho" w:cs="Times New Roman"/>
        </w:rPr>
      </w:pPr>
      <w:r>
        <w:rPr>
          <w:rFonts w:eastAsia="Yu Mincho" w:cs="Times New Roman" w:ascii="Times New Roman" w:hAnsi="Times New Roman"/>
        </w:rPr>
        <w:t xml:space="preserve">priesaikos deklaracija; </w:t>
      </w:r>
    </w:p>
    <w:p>
      <w:pPr>
        <w:pStyle w:val="FootnoteText"/>
        <w:numPr>
          <w:ilvl w:val="0"/>
          <w:numId w:val="16"/>
        </w:numPr>
        <w:spacing w:lineRule="auto" w:line="240" w:before="0" w:after="0"/>
        <w:ind w:hanging="360" w:left="720" w:right="51"/>
        <w:jc w:val="both"/>
        <w:rPr>
          <w:rFonts w:ascii="Times New Roman" w:hAnsi="Times New Roman" w:eastAsia="Yu Mincho" w:cs="Times New Roman"/>
        </w:rPr>
      </w:pPr>
      <w:r>
        <w:rPr>
          <w:rFonts w:eastAsia="Yu Mincho" w:cs="Times New Roman" w:ascii="Times New Roman" w:hAnsi="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pPr>
        <w:pStyle w:val="FootnoteText"/>
        <w:spacing w:before="0" w:after="0"/>
        <w:ind w:right="51"/>
        <w:jc w:val="both"/>
        <w:rPr>
          <w:rFonts w:ascii="Times New Roman" w:hAnsi="Times New Roman" w:cs="Times New Roman"/>
          <w:i/>
          <w:i/>
          <w:iCs/>
        </w:rPr>
      </w:pPr>
      <w:r>
        <w:rPr>
          <w:rStyle w:val="FootnoteCharacters"/>
        </w:rPr>
        <w:footnoteRef/>
      </w:r>
      <w:r>
        <w:rPr>
          <w:rFonts w:eastAsia="Yu Mincho" w:cs="Arial"/>
          <w:i/>
          <w:iCs/>
        </w:rPr>
        <w:t xml:space="preserve"> </w:t>
      </w:r>
      <w:r>
        <w:rPr>
          <w:rFonts w:eastAsia="Yu Mincho" w:cs="Times New Roman"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17"/>
        </w:numPr>
        <w:spacing w:lineRule="auto" w:line="240" w:before="0" w:after="0"/>
        <w:ind w:hanging="360" w:left="720" w:right="51"/>
        <w:jc w:val="both"/>
        <w:rPr>
          <w:rFonts w:ascii="Times New Roman" w:hAnsi="Times New Roman" w:eastAsia="Yu Mincho" w:cs="Times New Roman"/>
          <w:i/>
          <w:i/>
          <w:iCs/>
        </w:rPr>
      </w:pPr>
      <w:r>
        <w:rPr>
          <w:rFonts w:eastAsia="Yu Mincho" w:cs="Times New Roman" w:ascii="Times New Roman" w:hAnsi="Times New Roman"/>
          <w:i/>
          <w:iCs/>
        </w:rPr>
        <w:t xml:space="preserve">priesaikos deklaracija; </w:t>
      </w:r>
    </w:p>
    <w:p>
      <w:pPr>
        <w:pStyle w:val="FootnoteText"/>
        <w:numPr>
          <w:ilvl w:val="0"/>
          <w:numId w:val="17"/>
        </w:numPr>
        <w:spacing w:lineRule="auto" w:line="240" w:before="0" w:after="0"/>
        <w:ind w:hanging="360" w:left="720" w:right="51"/>
        <w:jc w:val="both"/>
        <w:rPr>
          <w:rFonts w:ascii="Calibri" w:hAnsi="Calibri" w:eastAsia="Yu Mincho" w:cs="Arial"/>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7">
    <w:p>
      <w:pPr>
        <w:pStyle w:val="FootnoteText"/>
        <w:spacing w:before="0" w:after="160"/>
        <w:rPr/>
      </w:pPr>
      <w:r>
        <w:rPr>
          <w:rStyle w:val="FootnoteCharacters"/>
        </w:rPr>
        <w:footnoteRef/>
      </w:r>
      <w:r>
        <w:rPr>
          <w:iCs/>
          <w:sz w:val="18"/>
          <w:szCs w:val="18"/>
        </w:rPr>
        <w:t xml:space="preserve"> </w:t>
      </w:r>
      <w:r>
        <w:rPr>
          <w:iCs/>
          <w:sz w:val="18"/>
          <w:szCs w:val="18"/>
        </w:rPr>
        <w:t>Tuo atveju, jei Pasiūlymą teikia Jungtinei veiklai susivienijusių Tiekėjų grupė, pateikiama informacija apie visus jungtinei veiklai susivienijusius Tiekėjus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16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502"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val="false"/>
        <w:bCs w:val="false"/>
        <w:rFonts w:ascii="Times New Roman" w:hAnsi="Times New Roman"/>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2"/>
      <w:numFmt w:val="decimal"/>
      <w:lvlText w:val="%1"/>
      <w:lvlJc w:val="left"/>
      <w:pPr>
        <w:tabs>
          <w:tab w:val="num" w:pos="0"/>
        </w:tabs>
        <w:ind w:left="360" w:hanging="360"/>
      </w:pPr>
      <w:rPr>
        <w:rFonts w:eastAsia="Calibri" w:cs="" w:cstheme="minorBidi"/>
        <w:color w:themeColor="text1" w:val="000000"/>
      </w:rPr>
    </w:lvl>
    <w:lvl w:ilvl="1">
      <w:start w:val="1"/>
      <w:numFmt w:val="decimal"/>
      <w:lvlText w:val="%1.%2"/>
      <w:lvlJc w:val="left"/>
      <w:pPr>
        <w:tabs>
          <w:tab w:val="num" w:pos="0"/>
        </w:tabs>
        <w:ind w:left="360" w:hanging="360"/>
      </w:pPr>
      <w:rPr>
        <w:rFonts w:eastAsia="Calibri" w:cs="" w:cstheme="minorBidi"/>
        <w:color w:themeColor="text1" w:val="000000"/>
      </w:rPr>
    </w:lvl>
    <w:lvl w:ilvl="2">
      <w:start w:val="1"/>
      <w:numFmt w:val="decimal"/>
      <w:lvlText w:val="%1.%2.%3"/>
      <w:lvlJc w:val="left"/>
      <w:pPr>
        <w:tabs>
          <w:tab w:val="num" w:pos="0"/>
        </w:tabs>
        <w:ind w:left="720" w:hanging="720"/>
      </w:pPr>
      <w:rPr>
        <w:rFonts w:eastAsia="Calibri" w:cs="" w:cstheme="minorBidi"/>
        <w:color w:themeColor="text1" w:val="000000"/>
      </w:rPr>
    </w:lvl>
    <w:lvl w:ilvl="3">
      <w:start w:val="1"/>
      <w:numFmt w:val="decimal"/>
      <w:lvlText w:val="%1.%2.%3.%4"/>
      <w:lvlJc w:val="left"/>
      <w:pPr>
        <w:tabs>
          <w:tab w:val="num" w:pos="0"/>
        </w:tabs>
        <w:ind w:left="720" w:hanging="720"/>
      </w:pPr>
      <w:rPr>
        <w:rFonts w:eastAsia="Calibri" w:cs="" w:cstheme="minorBidi"/>
        <w:color w:themeColor="text1" w:val="000000"/>
      </w:rPr>
    </w:lvl>
    <w:lvl w:ilvl="4">
      <w:start w:val="1"/>
      <w:numFmt w:val="decimal"/>
      <w:lvlText w:val="%1.%2.%3.%4.%5"/>
      <w:lvlJc w:val="left"/>
      <w:pPr>
        <w:tabs>
          <w:tab w:val="num" w:pos="0"/>
        </w:tabs>
        <w:ind w:left="1080" w:hanging="1080"/>
      </w:pPr>
      <w:rPr>
        <w:rFonts w:eastAsia="Calibri" w:cs="" w:cstheme="minorBidi"/>
        <w:color w:themeColor="text1" w:val="000000"/>
      </w:rPr>
    </w:lvl>
    <w:lvl w:ilvl="5">
      <w:start w:val="1"/>
      <w:numFmt w:val="decimal"/>
      <w:lvlText w:val="%1.%2.%3.%4.%5.%6"/>
      <w:lvlJc w:val="left"/>
      <w:pPr>
        <w:tabs>
          <w:tab w:val="num" w:pos="0"/>
        </w:tabs>
        <w:ind w:left="1080" w:hanging="1080"/>
      </w:pPr>
      <w:rPr>
        <w:rFonts w:eastAsia="Calibri" w:cs="" w:cstheme="minorBidi"/>
        <w:color w:themeColor="text1" w:val="000000"/>
      </w:rPr>
    </w:lvl>
    <w:lvl w:ilvl="6">
      <w:start w:val="1"/>
      <w:numFmt w:val="decimal"/>
      <w:lvlText w:val="%1.%2.%3.%4.%5.%6.%7"/>
      <w:lvlJc w:val="left"/>
      <w:pPr>
        <w:tabs>
          <w:tab w:val="num" w:pos="0"/>
        </w:tabs>
        <w:ind w:left="1080" w:hanging="1080"/>
      </w:pPr>
      <w:rPr>
        <w:rFonts w:eastAsia="Calibri" w:cs="" w:cstheme="minorBidi"/>
        <w:color w:themeColor="text1" w:val="000000"/>
      </w:rPr>
    </w:lvl>
    <w:lvl w:ilvl="7">
      <w:start w:val="1"/>
      <w:numFmt w:val="decimal"/>
      <w:lvlText w:val="%1.%2.%3.%4.%5.%6.%7.%8"/>
      <w:lvlJc w:val="left"/>
      <w:pPr>
        <w:tabs>
          <w:tab w:val="num" w:pos="0"/>
        </w:tabs>
        <w:ind w:left="1440" w:hanging="1440"/>
      </w:pPr>
      <w:rPr>
        <w:rFonts w:eastAsia="Calibri" w:cs="" w:cstheme="minorBidi"/>
        <w:color w:themeColor="text1" w:val="000000"/>
      </w:rPr>
    </w:lvl>
    <w:lvl w:ilvl="8">
      <w:start w:val="1"/>
      <w:numFmt w:val="decimal"/>
      <w:lvlText w:val="%1.%2.%3.%4.%5.%6.%7.%8.%9"/>
      <w:lvlJc w:val="left"/>
      <w:pPr>
        <w:tabs>
          <w:tab w:val="num" w:pos="0"/>
        </w:tabs>
        <w:ind w:left="1440" w:hanging="1440"/>
      </w:pPr>
      <w:rPr>
        <w:rFonts w:eastAsia="Calibri" w:cs="" w:cstheme="minorBidi"/>
        <w:color w:themeColor="text1" w:val="000000"/>
      </w:rPr>
    </w:lvl>
  </w:abstractNum>
  <w:abstractNum w:abstractNumId="4">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140" w:hanging="720"/>
      </w:pPr>
      <w:rPr>
        <w:sz w:val="24"/>
        <w:i w:val="false"/>
        <w:b w:val="false"/>
        <w:szCs w:val="24"/>
        <w:iCs/>
        <w:bCs w:val="false"/>
        <w:rFonts w:ascii="Times New Roman" w:hAnsi="Times New Roman"/>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6">
    <w:lvl w:ilvl="0">
      <w:start w:val="6"/>
      <w:numFmt w:val="decimal"/>
      <w:lvlText w:val="%1."/>
      <w:lvlJc w:val="left"/>
      <w:pPr>
        <w:tabs>
          <w:tab w:val="num" w:pos="0"/>
        </w:tabs>
        <w:ind w:left="504" w:hanging="504"/>
      </w:pPr>
      <w:rPr>
        <w:u w:val="none"/>
        <w:b w:val="false"/>
        <w:bCs w:val="false"/>
        <w:rFonts w:eastAsia="Calibri"/>
      </w:rPr>
    </w:lvl>
    <w:lvl w:ilvl="1">
      <w:start w:val="2"/>
      <w:numFmt w:val="decimal"/>
      <w:lvlText w:val="%1.%2."/>
      <w:lvlJc w:val="left"/>
      <w:pPr>
        <w:tabs>
          <w:tab w:val="num" w:pos="0"/>
        </w:tabs>
        <w:ind w:left="1214" w:hanging="504"/>
      </w:pPr>
      <w:rPr>
        <w:i w:val="false"/>
        <w:u w:val="none"/>
        <w:iCs w:val="false"/>
        <w:rFonts w:eastAsia="Calibri"/>
        <w:color w:val="auto"/>
      </w:rPr>
    </w:lvl>
    <w:lvl w:ilvl="2">
      <w:start w:val="1"/>
      <w:numFmt w:val="decimal"/>
      <w:lvlText w:val="%1.%2.%3."/>
      <w:lvlJc w:val="left"/>
      <w:pPr>
        <w:tabs>
          <w:tab w:val="num" w:pos="0"/>
        </w:tabs>
        <w:ind w:left="2140" w:hanging="720"/>
      </w:pPr>
      <w:rPr>
        <w:u w:val="none"/>
        <w:rFonts w:eastAsia="Calibri"/>
        <w:color w:val="auto"/>
      </w:rPr>
    </w:lvl>
    <w:lvl w:ilvl="3">
      <w:start w:val="1"/>
      <w:numFmt w:val="decimal"/>
      <w:lvlText w:val="%1.%2.%3.%4."/>
      <w:lvlJc w:val="left"/>
      <w:pPr>
        <w:tabs>
          <w:tab w:val="num" w:pos="0"/>
        </w:tabs>
        <w:ind w:left="2850" w:hanging="720"/>
      </w:pPr>
      <w:rPr>
        <w:u w:val="none"/>
        <w:rFonts w:eastAsia="Calibri"/>
      </w:rPr>
    </w:lvl>
    <w:lvl w:ilvl="4">
      <w:start w:val="1"/>
      <w:numFmt w:val="decimal"/>
      <w:lvlText w:val="%1.%2.%3.%4.%5."/>
      <w:lvlJc w:val="left"/>
      <w:pPr>
        <w:tabs>
          <w:tab w:val="num" w:pos="0"/>
        </w:tabs>
        <w:ind w:left="3920" w:hanging="1080"/>
      </w:pPr>
      <w:rPr>
        <w:u w:val="none"/>
        <w:rFonts w:eastAsia="Calibri"/>
      </w:rPr>
    </w:lvl>
    <w:lvl w:ilvl="5">
      <w:start w:val="1"/>
      <w:numFmt w:val="decimal"/>
      <w:lvlText w:val="%1.%2.%3.%4.%5.%6."/>
      <w:lvlJc w:val="left"/>
      <w:pPr>
        <w:tabs>
          <w:tab w:val="num" w:pos="0"/>
        </w:tabs>
        <w:ind w:left="4630" w:hanging="1080"/>
      </w:pPr>
      <w:rPr>
        <w:u w:val="none"/>
        <w:rFonts w:eastAsia="Calibri"/>
      </w:rPr>
    </w:lvl>
    <w:lvl w:ilvl="6">
      <w:start w:val="1"/>
      <w:numFmt w:val="decimal"/>
      <w:lvlText w:val="%1.%2.%3.%4.%5.%6.%7."/>
      <w:lvlJc w:val="left"/>
      <w:pPr>
        <w:tabs>
          <w:tab w:val="num" w:pos="0"/>
        </w:tabs>
        <w:ind w:left="5700" w:hanging="1440"/>
      </w:pPr>
      <w:rPr>
        <w:u w:val="none"/>
        <w:rFonts w:eastAsia="Calibri"/>
      </w:rPr>
    </w:lvl>
    <w:lvl w:ilvl="7">
      <w:start w:val="1"/>
      <w:numFmt w:val="decimal"/>
      <w:lvlText w:val="%1.%2.%3.%4.%5.%6.%7.%8."/>
      <w:lvlJc w:val="left"/>
      <w:pPr>
        <w:tabs>
          <w:tab w:val="num" w:pos="0"/>
        </w:tabs>
        <w:ind w:left="6410" w:hanging="1440"/>
      </w:pPr>
      <w:rPr>
        <w:u w:val="none"/>
        <w:rFonts w:eastAsia="Calibri"/>
      </w:rPr>
    </w:lvl>
    <w:lvl w:ilvl="8">
      <w:start w:val="1"/>
      <w:numFmt w:val="decimal"/>
      <w:lvlText w:val="%1.%2.%3.%4.%5.%6.%7.%8.%9."/>
      <w:lvlJc w:val="left"/>
      <w:pPr>
        <w:tabs>
          <w:tab w:val="num" w:pos="0"/>
        </w:tabs>
        <w:ind w:left="7120" w:hanging="1440"/>
      </w:pPr>
      <w:rPr>
        <w:u w:val="none"/>
        <w:rFonts w:eastAsia="Calibri"/>
      </w:rPr>
    </w:lvl>
  </w:abstractNum>
  <w:abstractNum w:abstractNumId="7">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8">
    <w:lvl w:ilvl="0">
      <w:start w:val="10"/>
      <w:numFmt w:val="decimal"/>
      <w:lvlText w:val="%1."/>
      <w:lvlJc w:val="left"/>
      <w:pPr>
        <w:tabs>
          <w:tab w:val="num" w:pos="0"/>
        </w:tabs>
        <w:ind w:left="444" w:hanging="444"/>
      </w:pPr>
      <w:rPr>
        <w:b w:val="false"/>
        <w:bCs w:val="false"/>
      </w:rPr>
    </w:lvl>
    <w:lvl w:ilvl="1">
      <w:start w:val="1"/>
      <w:numFmt w:val="decimal"/>
      <w:lvlText w:val="%1.%2."/>
      <w:lvlJc w:val="left"/>
      <w:pPr>
        <w:tabs>
          <w:tab w:val="num" w:pos="0"/>
        </w:tabs>
        <w:ind w:left="3280"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9">
    <w:lvl w:ilvl="0">
      <w:start w:val="9"/>
      <w:numFmt w:val="decimal"/>
      <w:lvlText w:val="%1."/>
      <w:lvlJc w:val="left"/>
      <w:pPr>
        <w:tabs>
          <w:tab w:val="num" w:pos="0"/>
        </w:tabs>
        <w:ind w:left="360" w:hanging="360"/>
      </w:pPr>
      <w:rPr>
        <w:i w:val="false"/>
        <w:rFonts w:eastAsia="" w:eastAsiaTheme="minorEastAsia"/>
        <w:color w:val="auto"/>
      </w:rPr>
    </w:lvl>
    <w:lvl w:ilvl="1">
      <w:start w:val="3"/>
      <w:numFmt w:val="decimal"/>
      <w:lvlText w:val="%1.%2."/>
      <w:lvlJc w:val="left"/>
      <w:pPr>
        <w:tabs>
          <w:tab w:val="num" w:pos="0"/>
        </w:tabs>
        <w:ind w:left="1070" w:hanging="360"/>
      </w:pPr>
      <w:rPr>
        <w:i w:val="false"/>
        <w:rFonts w:eastAsia="" w:eastAsiaTheme="minorEastAsia"/>
        <w:color w:val="auto"/>
      </w:rPr>
    </w:lvl>
    <w:lvl w:ilvl="2">
      <w:start w:val="1"/>
      <w:numFmt w:val="decimal"/>
      <w:lvlText w:val="%1.%2.%3."/>
      <w:lvlJc w:val="left"/>
      <w:pPr>
        <w:tabs>
          <w:tab w:val="num" w:pos="0"/>
        </w:tabs>
        <w:ind w:left="2140" w:hanging="720"/>
      </w:pPr>
      <w:rPr>
        <w:i w:val="false"/>
        <w:rFonts w:eastAsia="" w:eastAsiaTheme="minorEastAsia"/>
        <w:color w:val="auto"/>
      </w:rPr>
    </w:lvl>
    <w:lvl w:ilvl="3">
      <w:start w:val="1"/>
      <w:numFmt w:val="decimal"/>
      <w:lvlText w:val="%1.%2.%3.%4."/>
      <w:lvlJc w:val="left"/>
      <w:pPr>
        <w:tabs>
          <w:tab w:val="num" w:pos="0"/>
        </w:tabs>
        <w:ind w:left="2850" w:hanging="720"/>
      </w:pPr>
      <w:rPr>
        <w:i w:val="false"/>
        <w:rFonts w:eastAsia="" w:eastAsiaTheme="minorEastAsia"/>
        <w:color w:val="auto"/>
      </w:rPr>
    </w:lvl>
    <w:lvl w:ilvl="4">
      <w:start w:val="1"/>
      <w:numFmt w:val="decimal"/>
      <w:lvlText w:val="%1.%2.%3.%4.%5."/>
      <w:lvlJc w:val="left"/>
      <w:pPr>
        <w:tabs>
          <w:tab w:val="num" w:pos="0"/>
        </w:tabs>
        <w:ind w:left="3920" w:hanging="1080"/>
      </w:pPr>
      <w:rPr>
        <w:i w:val="false"/>
        <w:rFonts w:eastAsia="" w:eastAsiaTheme="minorEastAsia"/>
        <w:color w:val="auto"/>
      </w:rPr>
    </w:lvl>
    <w:lvl w:ilvl="5">
      <w:start w:val="1"/>
      <w:numFmt w:val="decimal"/>
      <w:lvlText w:val="%1.%2.%3.%4.%5.%6."/>
      <w:lvlJc w:val="left"/>
      <w:pPr>
        <w:tabs>
          <w:tab w:val="num" w:pos="0"/>
        </w:tabs>
        <w:ind w:left="4630" w:hanging="1080"/>
      </w:pPr>
      <w:rPr>
        <w:i w:val="false"/>
        <w:rFonts w:eastAsia="" w:eastAsiaTheme="minorEastAsia"/>
        <w:color w:val="auto"/>
      </w:rPr>
    </w:lvl>
    <w:lvl w:ilvl="6">
      <w:start w:val="1"/>
      <w:numFmt w:val="decimal"/>
      <w:lvlText w:val="%1.%2.%3.%4.%5.%6.%7."/>
      <w:lvlJc w:val="left"/>
      <w:pPr>
        <w:tabs>
          <w:tab w:val="num" w:pos="0"/>
        </w:tabs>
        <w:ind w:left="5700" w:hanging="1440"/>
      </w:pPr>
      <w:rPr>
        <w:i w:val="false"/>
        <w:rFonts w:eastAsia="" w:eastAsiaTheme="minorEastAsia"/>
        <w:color w:val="auto"/>
      </w:rPr>
    </w:lvl>
    <w:lvl w:ilvl="7">
      <w:start w:val="1"/>
      <w:numFmt w:val="decimal"/>
      <w:lvlText w:val="%1.%2.%3.%4.%5.%6.%7.%8."/>
      <w:lvlJc w:val="left"/>
      <w:pPr>
        <w:tabs>
          <w:tab w:val="num" w:pos="0"/>
        </w:tabs>
        <w:ind w:left="6410" w:hanging="1440"/>
      </w:pPr>
      <w:rPr>
        <w:i w:val="false"/>
        <w:rFonts w:eastAsia="" w:eastAsiaTheme="minorEastAsia"/>
        <w:color w:val="auto"/>
      </w:rPr>
    </w:lvl>
    <w:lvl w:ilvl="8">
      <w:start w:val="1"/>
      <w:numFmt w:val="decimal"/>
      <w:lvlText w:val="%1.%2.%3.%4.%5.%6.%7.%8.%9."/>
      <w:lvlJc w:val="left"/>
      <w:pPr>
        <w:tabs>
          <w:tab w:val="num" w:pos="0"/>
        </w:tabs>
        <w:ind w:left="7480" w:hanging="1800"/>
      </w:pPr>
      <w:rPr>
        <w:i w:val="false"/>
        <w:rFonts w:eastAsia="" w:eastAsiaTheme="minorEastAsia"/>
        <w:color w:val="auto"/>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suff w:val="space"/>
      <w:lvlText w:val="%1."/>
      <w:lvlJc w:val="left"/>
      <w:pPr>
        <w:tabs>
          <w:tab w:val="num" w:pos="0"/>
        </w:tabs>
        <w:ind w:left="0" w:hanging="0"/>
      </w:pPr>
      <w:rPr>
        <w:sz w:val="21"/>
        <w:i w:val="false"/>
        <w:b w:val="false"/>
        <w:szCs w:val="21"/>
        <w:iCs/>
        <w:bCs w:val="false"/>
        <w:rFonts w:ascii="Calibri" w:hAnsi="Calibri" w:cs="Calibri" w:asciiTheme="minorHAnsi" w:cstheme="minorHAnsi" w:hAnsiTheme="minorHAnsi"/>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4">
    <w:lvl w:ilvl="0">
      <w:start w:val="1"/>
      <w:numFmt w:val="decimal"/>
      <w:lvlText w:val="%1."/>
      <w:lvlJc w:val="left"/>
      <w:pPr>
        <w:tabs>
          <w:tab w:val="num" w:pos="0"/>
        </w:tabs>
        <w:ind w:left="720" w:hanging="360"/>
      </w:pPr>
      <w:rPr/>
    </w:lvl>
    <w:lvl w:ilvl="1">
      <w:start w:val="1"/>
      <w:numFmt w:val="decimal"/>
      <w:lvlText w:val="%1.%2."/>
      <w:lvlJc w:val="left"/>
      <w:pPr>
        <w:tabs>
          <w:tab w:val="num" w:pos="0"/>
        </w:tabs>
        <w:ind w:left="1440" w:hanging="720"/>
      </w:pPr>
      <w:rPr/>
    </w:lvl>
    <w:lvl w:ilvl="2">
      <w:start w:val="1"/>
      <w:numFmt w:val="decimal"/>
      <w:lvlText w:val="%1.%2.%3."/>
      <w:lvlJc w:val="left"/>
      <w:pPr>
        <w:tabs>
          <w:tab w:val="num" w:pos="0"/>
        </w:tabs>
        <w:ind w:left="2160" w:hanging="1080"/>
      </w:pPr>
      <w:rPr/>
    </w:lvl>
    <w:lvl w:ilvl="3">
      <w:start w:val="1"/>
      <w:numFmt w:val="decimal"/>
      <w:lvlText w:val="%1.%2.%3.%4."/>
      <w:lvlJc w:val="left"/>
      <w:pPr>
        <w:tabs>
          <w:tab w:val="num" w:pos="0"/>
        </w:tabs>
        <w:ind w:left="2520" w:hanging="1080"/>
      </w:pPr>
      <w:rPr/>
    </w:lvl>
    <w:lvl w:ilvl="4">
      <w:start w:val="1"/>
      <w:numFmt w:val="decimal"/>
      <w:lvlText w:val="%1.%2.%3.%4.%5."/>
      <w:lvlJc w:val="left"/>
      <w:pPr>
        <w:tabs>
          <w:tab w:val="num" w:pos="0"/>
        </w:tabs>
        <w:ind w:left="3240" w:hanging="1440"/>
      </w:pPr>
      <w:rPr/>
    </w:lvl>
    <w:lvl w:ilvl="5">
      <w:start w:val="1"/>
      <w:numFmt w:val="decimal"/>
      <w:lvlText w:val="%1.%2.%3.%4.%5.%6."/>
      <w:lvlJc w:val="left"/>
      <w:pPr>
        <w:tabs>
          <w:tab w:val="num" w:pos="0"/>
        </w:tabs>
        <w:ind w:left="3960" w:hanging="1800"/>
      </w:pPr>
      <w:rPr/>
    </w:lvl>
    <w:lvl w:ilvl="6">
      <w:start w:val="1"/>
      <w:numFmt w:val="decimal"/>
      <w:lvlText w:val="%1.%2.%3.%4.%5.%6.%7."/>
      <w:lvlJc w:val="left"/>
      <w:pPr>
        <w:tabs>
          <w:tab w:val="num" w:pos="0"/>
        </w:tabs>
        <w:ind w:left="4680" w:hanging="2160"/>
      </w:pPr>
      <w:rPr/>
    </w:lvl>
    <w:lvl w:ilvl="7">
      <w:start w:val="1"/>
      <w:numFmt w:val="decimal"/>
      <w:lvlText w:val="%1.%2.%3.%4.%5.%6.%7.%8."/>
      <w:lvlJc w:val="left"/>
      <w:pPr>
        <w:tabs>
          <w:tab w:val="num" w:pos="0"/>
        </w:tabs>
        <w:ind w:left="5040" w:hanging="2160"/>
      </w:pPr>
      <w:rPr/>
    </w:lvl>
    <w:lvl w:ilvl="8">
      <w:start w:val="1"/>
      <w:numFmt w:val="decimal"/>
      <w:lvlText w:val="%1.%2.%3.%4.%5.%6.%7.%8.%9."/>
      <w:lvlJc w:val="left"/>
      <w:pPr>
        <w:tabs>
          <w:tab w:val="num" w:pos="0"/>
        </w:tabs>
        <w:ind w:left="5760" w:hanging="2520"/>
      </w:pPr>
      <w:rPr/>
    </w:lvl>
  </w:abstractNum>
  <w:abstractNum w:abstractNumId="1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right"/>
      <w:pPr>
        <w:tabs>
          <w:tab w:val="num" w:pos="0"/>
        </w:tabs>
        <w:ind w:left="360" w:hanging="360"/>
      </w:pPr>
      <w:rPr/>
    </w:lvl>
    <w:lvl w:ilvl="1">
      <w:start w:val="1"/>
      <w:numFmt w:val="decimal"/>
      <w:lvlText w:val="%1.%2."/>
      <w:lvlJc w:val="left"/>
      <w:pPr>
        <w:tabs>
          <w:tab w:val="num" w:pos="792"/>
        </w:tabs>
        <w:ind w:left="792" w:hanging="432"/>
      </w:pPr>
      <w:rPr>
        <w:b w:val="false"/>
        <w:rFonts w:ascii="Trebuchet MS" w:hAnsi="Trebuchet MS"/>
      </w:rPr>
    </w:lvl>
    <w:lvl w:ilvl="2">
      <w:start w:val="1"/>
      <w:numFmt w:val="decimal"/>
      <w:lvlText w:val="%1.%2.%3."/>
      <w:lvlJc w:val="left"/>
      <w:pPr>
        <w:tabs>
          <w:tab w:val="num" w:pos="1584"/>
        </w:tabs>
        <w:ind w:left="794" w:hanging="437"/>
      </w:pPr>
      <w:rPr/>
    </w:lvl>
    <w:lvl w:ilvl="3">
      <w:start w:val="1"/>
      <w:numFmt w:val="decimal"/>
      <w:lvlText w:val="%1.%2.%3.%4."/>
      <w:lvlJc w:val="left"/>
      <w:pPr>
        <w:tabs>
          <w:tab w:val="num" w:pos="1728"/>
        </w:tabs>
        <w:ind w:left="1728" w:hanging="648"/>
      </w:pPr>
      <w:rPr/>
    </w:lvl>
    <w:lvl w:ilvl="4">
      <w:start w:val="1"/>
      <w:numFmt w:val="decimal"/>
      <w:lvlText w:val="%1.%2.%3.%4.%5."/>
      <w:lvlJc w:val="left"/>
      <w:pPr>
        <w:tabs>
          <w:tab w:val="num" w:pos="2232"/>
        </w:tabs>
        <w:ind w:left="2232" w:hanging="792"/>
      </w:pPr>
      <w:rPr/>
    </w:lvl>
    <w:lvl w:ilvl="5">
      <w:start w:val="1"/>
      <w:numFmt w:val="decimal"/>
      <w:lvlText w:val="%1.%2.%3.%4.%5.%6."/>
      <w:lvlJc w:val="left"/>
      <w:pPr>
        <w:tabs>
          <w:tab w:val="num" w:pos="2736"/>
        </w:tabs>
        <w:ind w:left="2736" w:hanging="936"/>
      </w:pPr>
      <w:rPr/>
    </w:lvl>
    <w:lvl w:ilvl="6">
      <w:start w:val="1"/>
      <w:numFmt w:val="decimal"/>
      <w:lvlText w:val="%1.%2.%3.%4.%5.%6.%7."/>
      <w:lvlJc w:val="left"/>
      <w:pPr>
        <w:tabs>
          <w:tab w:val="num" w:pos="3240"/>
        </w:tabs>
        <w:ind w:left="3240" w:hanging="1080"/>
      </w:pPr>
      <w:rPr/>
    </w:lvl>
    <w:lvl w:ilvl="7">
      <w:start w:val="1"/>
      <w:numFmt w:val="decimal"/>
      <w:lvlText w:val="%1.%2.%3.%4.%5.%6.%7.%8."/>
      <w:lvlJc w:val="left"/>
      <w:pPr>
        <w:tabs>
          <w:tab w:val="num" w:pos="3744"/>
        </w:tabs>
        <w:ind w:left="3744" w:hanging="1224"/>
      </w:pPr>
      <w:rPr/>
    </w:lvl>
    <w:lvl w:ilvl="8">
      <w:start w:val="1"/>
      <w:numFmt w:val="decimal"/>
      <w:lvlText w:val="%1.%2.%3.%4.%5.%6.%7.%8.%9."/>
      <w:lvlJc w:val="left"/>
      <w:pPr>
        <w:tabs>
          <w:tab w:val="num" w:pos="4320"/>
        </w:tabs>
        <w:ind w:left="4320" w:hanging="1440"/>
      </w:pPr>
      <w:rPr/>
    </w:lvl>
  </w:abstractNum>
  <w:abstractNum w:abstractNumId="19">
    <w:lvl w:ilvl="0">
      <w:start w:val="1"/>
      <w:numFmt w:val="decimal"/>
      <w:lvlText w:val="%1."/>
      <w:lvlJc w:val="left"/>
      <w:pPr>
        <w:tabs>
          <w:tab w:val="num" w:pos="0"/>
        </w:tabs>
        <w:ind w:left="360" w:hanging="360"/>
      </w:pPr>
      <w:rPr/>
    </w:lvl>
    <w:lvl w:ilvl="1">
      <w:start w:val="6"/>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
    <w:lvl w:ilvl="0">
      <w:start w:val="2"/>
      <w:numFmt w:val="decimal"/>
      <w:lvlText w:val="%1."/>
      <w:lvlJc w:val="left"/>
      <w:pPr>
        <w:tabs>
          <w:tab w:val="num" w:pos="0"/>
        </w:tabs>
        <w:ind w:left="360" w:hanging="360"/>
      </w:pPr>
      <w:rPr/>
    </w:lvl>
    <w:lvl w:ilvl="1">
      <w:start w:val="2"/>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21">
    <w:lvl w:ilvl="0">
      <w:start w:val="1"/>
      <w:numFmt w:val="decimal"/>
      <w:lvlText w:val="%1."/>
      <w:lvlJc w:val="left"/>
      <w:pPr>
        <w:tabs>
          <w:tab w:val="num" w:pos="0"/>
        </w:tabs>
        <w:ind w:left="1778" w:hanging="360"/>
      </w:pPr>
      <w:rPr>
        <w:b w:val="false"/>
        <w:bCs w:val="false"/>
      </w:rPr>
    </w:lvl>
    <w:lvl w:ilvl="1">
      <w:start w:val="1"/>
      <w:numFmt w:val="decimal"/>
      <w:lvlText w:val="%1.%2."/>
      <w:lvlJc w:val="left"/>
      <w:pPr>
        <w:tabs>
          <w:tab w:val="num" w:pos="0"/>
        </w:tabs>
        <w:ind w:left="2127" w:hanging="360"/>
      </w:pPr>
      <w:rPr/>
    </w:lvl>
    <w:lvl w:ilvl="2">
      <w:start w:val="1"/>
      <w:numFmt w:val="decimal"/>
      <w:lvlText w:val="%1.%2.%3."/>
      <w:lvlJc w:val="left"/>
      <w:pPr>
        <w:tabs>
          <w:tab w:val="num" w:pos="0"/>
        </w:tabs>
        <w:ind w:left="2552" w:hanging="720"/>
      </w:pPr>
      <w:rPr/>
    </w:lvl>
    <w:lvl w:ilvl="3">
      <w:start w:val="1"/>
      <w:numFmt w:val="decimal"/>
      <w:lvlText w:val="%1.%2.%3.%4."/>
      <w:lvlJc w:val="left"/>
      <w:pPr>
        <w:tabs>
          <w:tab w:val="num" w:pos="0"/>
        </w:tabs>
        <w:ind w:left="2759" w:hanging="720"/>
      </w:pPr>
      <w:rPr/>
    </w:lvl>
    <w:lvl w:ilvl="4">
      <w:start w:val="1"/>
      <w:numFmt w:val="decimal"/>
      <w:lvlText w:val="%1.%2.%3.%4.%5."/>
      <w:lvlJc w:val="left"/>
      <w:pPr>
        <w:tabs>
          <w:tab w:val="num" w:pos="0"/>
        </w:tabs>
        <w:ind w:left="3326" w:hanging="1080"/>
      </w:pPr>
      <w:rPr/>
    </w:lvl>
    <w:lvl w:ilvl="5">
      <w:start w:val="1"/>
      <w:numFmt w:val="decimal"/>
      <w:lvlText w:val="%1.%2.%3.%4.%5.%6."/>
      <w:lvlJc w:val="left"/>
      <w:pPr>
        <w:tabs>
          <w:tab w:val="num" w:pos="0"/>
        </w:tabs>
        <w:ind w:left="3533" w:hanging="1080"/>
      </w:pPr>
      <w:rPr/>
    </w:lvl>
    <w:lvl w:ilvl="6">
      <w:start w:val="1"/>
      <w:numFmt w:val="decimal"/>
      <w:lvlText w:val="%1.%2.%3.%4.%5.%6.%7."/>
      <w:lvlJc w:val="left"/>
      <w:pPr>
        <w:tabs>
          <w:tab w:val="num" w:pos="0"/>
        </w:tabs>
        <w:ind w:left="4100" w:hanging="1440"/>
      </w:pPr>
      <w:rPr/>
    </w:lvl>
    <w:lvl w:ilvl="7">
      <w:start w:val="1"/>
      <w:numFmt w:val="decimal"/>
      <w:lvlText w:val="%1.%2.%3.%4.%5.%6.%7.%8."/>
      <w:lvlJc w:val="left"/>
      <w:pPr>
        <w:tabs>
          <w:tab w:val="num" w:pos="0"/>
        </w:tabs>
        <w:ind w:left="4307" w:hanging="1440"/>
      </w:pPr>
      <w:rPr/>
    </w:lvl>
    <w:lvl w:ilvl="8">
      <w:start w:val="1"/>
      <w:numFmt w:val="decimal"/>
      <w:lvlText w:val="%1.%2.%3.%4.%5.%6.%7.%8.%9."/>
      <w:lvlJc w:val="left"/>
      <w:pPr>
        <w:tabs>
          <w:tab w:val="num" w:pos="0"/>
        </w:tabs>
        <w:ind w:left="4874" w:hanging="1800"/>
      </w:pPr>
      <w:r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1"/>
    <w:lvlOverride w:ilvl="0">
      <w:startOverride w:val="1"/>
    </w:lvlOverride>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uiPriority w:val="9"/>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link w:val="Heading1"/>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PuslapioinaostekstasDiagrama" w:customStyle="1">
    <w:name w:val="Puslapio išnašos tekstas Diagrama"/>
    <w:basedOn w:val="DefaultParagraphFont"/>
    <w:link w:val="FootnoteTex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uiPriority w:val="99"/>
    <w:qFormat/>
    <w:rsid w:val="00d05666"/>
    <w:rPr>
      <w:rFonts w:ascii="Times New Roman" w:hAnsi="Times New Roman"/>
      <w:sz w:val="20"/>
      <w:szCs w:val="20"/>
      <w:lang w:eastAsia="en-US"/>
    </w:rPr>
  </w:style>
  <w:style w:type="character" w:styleId="PaantratDiagrama" w:customStyle="1">
    <w:name w:val="Paantraštė Diagrama"/>
    <w:basedOn w:val="DefaultParagraphFont"/>
    <w:link w:val="Subtitle"/>
    <w:uiPriority w:val="11"/>
    <w:qFormat/>
    <w:rsid w:val="00eb164f"/>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DebesliotekstasDiagrama" w:customStyle="1">
    <w:name w:val="Debesėlio tekstas Diagrama"/>
    <w:basedOn w:val="DefaultParagraphFont"/>
    <w:link w:val="BalloonText"/>
    <w:uiPriority w:val="99"/>
    <w:semiHidden/>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AntratsDiagrama" w:customStyle="1">
    <w:name w:val="Antraštės Diagrama"/>
    <w:basedOn w:val="DefaultParagraphFont"/>
    <w:link w:val="Header"/>
    <w:uiPriority w:val="99"/>
    <w:qFormat/>
    <w:rsid w:val="00f560b4"/>
    <w:rPr>
      <w:rFonts w:ascii="Times New Roman" w:hAnsi="Times New Roman"/>
      <w:sz w:val="24"/>
      <w:szCs w:val="24"/>
      <w:lang w:eastAsia="en-US"/>
    </w:rPr>
  </w:style>
  <w:style w:type="character" w:styleId="PoratDiagrama" w:customStyle="1">
    <w:name w:val="Poraštė Diagrama"/>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Antrat2Diagrama" w:customStyle="1">
    <w:name w:val="Antraštė 2 Diagrama"/>
    <w:basedOn w:val="DefaultParagraphFont"/>
    <w:link w:val="Heading2"/>
    <w:uiPriority w:val="9"/>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link w:val="Heading3"/>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link w:val="Heading4"/>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link w:val="Heading5"/>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link w:val="Heading6"/>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link w:val="Heading7"/>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link w:val="Heading8"/>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link w:val="Heading9"/>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link w:val="Title"/>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CitataDiagrama" w:customStyle="1">
    <w:name w:val="Citata Diagrama"/>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DokumentoinaostekstasDiagrama" w:customStyle="1">
    <w:name w:val="Dokumento išnašos tekstas Diagrama"/>
    <w:basedOn w:val="DefaultParagraphFont"/>
    <w:link w:val="EndnoteText"/>
    <w:uiPriority w:val="99"/>
    <w:semiHidden/>
    <w:qFormat/>
    <w:rsid w:val="00482bc0"/>
    <w:rPr>
      <w:sz w:val="20"/>
      <w:szCs w:val="20"/>
    </w:rPr>
  </w:style>
  <w:style w:type="character"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name w:val="Mention"/>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Eop" w:customStyle="1">
    <w:name w:val="eop"/>
    <w:basedOn w:val="DefaultParagraphFont"/>
    <w:qFormat/>
    <w:rsid w:val="00031e45"/>
    <w:rPr/>
  </w:style>
  <w:style w:type="character" w:styleId="Normaltextrun" w:customStyle="1">
    <w:name w:val="normaltextrun"/>
    <w:basedOn w:val="DefaultParagraphFont"/>
    <w:qFormat/>
    <w:rsid w:val="005410f2"/>
    <w:rPr/>
  </w:style>
  <w:style w:type="character" w:styleId="Skaiiai2lygisChar" w:customStyle="1">
    <w:name w:val="Skaičiai_2 lygis Char"/>
    <w:basedOn w:val="DefaultParagraphFont"/>
    <w:link w:val="Skaiiai2lygis"/>
    <w:qFormat/>
    <w:locked/>
    <w:rsid w:val="00f575f9"/>
    <w:rPr>
      <w:color w:val="000000"/>
    </w:rPr>
  </w:style>
  <w:style w:type="character" w:styleId="IndexLink">
    <w:name w:val="Index Link"/>
    <w:qFormat/>
    <w:rPr/>
  </w:style>
  <w:style w:type="paragraph" w:styleId="Heading" w:customStyle="1">
    <w:name w:val="Heading"/>
    <w:next w:val="Body2"/>
    <w:qFormat/>
    <w:rsid w:val="00072fe6"/>
    <w:pPr>
      <w:widowControl/>
      <w:suppressAutoHyphens w:val="true"/>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PagrindinistekstasDiagrama"/>
    <w:rsid w:val="00fa144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iPriority w:val="99"/>
    <w:unhideWhenUsed/>
    <w:qFormat/>
    <w:rsid w:val="00d05666"/>
    <w:pPr/>
    <w:rPr>
      <w:sz w:val="20"/>
      <w:szCs w:val="20"/>
    </w:rPr>
  </w:style>
  <w:style w:type="paragraph" w:styleId="Subtitle">
    <w:name w:val="Subtitle"/>
    <w:basedOn w:val="Normal"/>
    <w:next w:val="Normal"/>
    <w:link w:val="PaantratDiagrama"/>
    <w:uiPriority w:val="11"/>
    <w:qFormat/>
    <w:rsid w:val="00eb164f"/>
    <w:pPr>
      <w:spacing w:before="0" w:after="240"/>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160"/>
      <w:ind w:left="720"/>
      <w:contextualSpacing/>
    </w:pPr>
    <w:rPr/>
  </w:style>
  <w:style w:type="paragraph" w:styleId="BalloonText">
    <w:name w:val="Balloon Text"/>
    <w:basedOn w:val="Normal"/>
    <w:link w:val="DebesliotekstasDiagrama"/>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iPriority w:val="99"/>
    <w:semiHidden/>
    <w:unhideWhenUsed/>
    <w:qFormat/>
    <w:rsid w:val="00fb3d71"/>
    <w:pPr/>
    <w:rPr>
      <w:b/>
      <w:bCs/>
    </w:rPr>
  </w:style>
  <w:style w:type="paragraph" w:styleId="NormalWeb">
    <w:name w:val="Normal (Web)"/>
    <w:basedOn w:val="Normal"/>
    <w:uiPriority w:val="99"/>
    <w:semiHidden/>
    <w:unhideWhenUsed/>
    <w:qFormat/>
    <w:rsid w:val="00ec3339"/>
    <w:pPr>
      <w:spacing w:beforeAutospacing="1" w:afterAutospacing="1"/>
    </w:pPr>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f560b4"/>
    <w:pPr>
      <w:tabs>
        <w:tab w:val="clear" w:pos="1296"/>
        <w:tab w:val="center" w:pos="4513" w:leader="none"/>
        <w:tab w:val="right" w:pos="9026" w:leader="none"/>
      </w:tabs>
    </w:pPr>
    <w:rPr/>
  </w:style>
  <w:style w:type="paragraph" w:styleId="Footer">
    <w:name w:val="Footer"/>
    <w:basedOn w:val="Normal"/>
    <w:link w:val="PoratDiagrama"/>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lineRule="auto" w:line="240"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
    <w:name w:val="caption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eb164f"/>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iPriority w:val="99"/>
    <w:semiHidden/>
    <w:unhideWhenUsed/>
    <w:qFormat/>
    <w:rsid w:val="00210870"/>
    <w:pPr>
      <w:spacing w:lineRule="auto" w:line="480" w:before="0" w:after="120"/>
      <w:ind w:left="283"/>
    </w:pPr>
    <w:rPr/>
  </w:style>
  <w:style w:type="paragraph" w:styleId="Skaiiai2lygis" w:customStyle="1">
    <w:name w:val="Skaičiai_2 lygis"/>
    <w:basedOn w:val="Normal"/>
    <w:link w:val="Skaiiai2lygisChar"/>
    <w:qFormat/>
    <w:rsid w:val="00f575f9"/>
    <w:pPr>
      <w:numPr>
        <w:ilvl w:val="1"/>
        <w:numId w:val="18"/>
      </w:numPr>
      <w:spacing w:lineRule="auto" w:line="240" w:before="0" w:after="0"/>
      <w:jc w:val="both"/>
    </w:pPr>
    <w:rPr>
      <w:color w:val="000000"/>
    </w:rPr>
  </w:style>
  <w:style w:type="paragraph" w:styleId="Paragraph" w:customStyle="1">
    <w:name w:val="paragraph"/>
    <w:basedOn w:val="Normal"/>
    <w:qFormat/>
    <w:rsid w:val="00fb24f9"/>
    <w:pPr>
      <w:suppressAutoHyphens w:val="true"/>
      <w:spacing w:lineRule="auto" w:line="240" w:before="100" w:after="100"/>
      <w:textAlignment w:val="baseline"/>
    </w:pPr>
    <w:rPr>
      <w:rFonts w:ascii="Times New Roman" w:hAnsi="Times New Roman" w:eastAsia="Times New Roman" w:cs="Times New Roman"/>
      <w:sz w:val="24"/>
      <w:szCs w:val="24"/>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Prastasis1">
    <w:name w:val="Įprastasis1"/>
    <w:qFormat/>
    <w:pPr>
      <w:widowControl w:val="false"/>
      <w:suppressAutoHyphens w:val="true"/>
      <w:bidi w:val="0"/>
      <w:spacing w:lineRule="auto" w:line="276" w:before="0" w:after="200"/>
      <w:jc w:val="left"/>
      <w:textAlignment w:val="baseline"/>
    </w:pPr>
    <w:rPr>
      <w:rFonts w:ascii="Times New Roman" w:hAnsi="Times New Roman" w:eastAsia="" w:cs="Calibri"/>
      <w:color w:val="00000A"/>
      <w:kern w:val="2"/>
      <w:sz w:val="24"/>
      <w:szCs w:val="24"/>
      <w:lang w:val="lt-LT" w:eastAsia="en-US" w:bidi="ar-SA"/>
    </w:rPr>
  </w:style>
  <w:style w:type="numbering" w:styleId="NoList" w:default="1">
    <w:name w:val="No List"/>
    <w:uiPriority w:val="99"/>
    <w:semiHidden/>
    <w:unhideWhenUsed/>
    <w:qFormat/>
  </w:style>
  <w:style w:type="numbering" w:styleId="List51" w:customStyle="1">
    <w:name w:val="List 51"/>
    <w:qFormat/>
    <w:rsid w:val="00197943"/>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d05666"/>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prastojilentel"/>
    <w:rsid w:val="0068660c"/>
    <w:pPr>
      <w:spacing w:after="0" w:line="240" w:lineRule="auto"/>
    </w:pPr>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prastojilentel"/>
    <w:uiPriority w:val="39"/>
    <w:qFormat/>
    <w:rsid w:val="00ff3f13"/>
    <w:pPr>
      <w:spacing w:after="0" w:line="240" w:lineRule="auto"/>
    </w:pPr>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tar.lt/portal/lt/legalAct/TAR.4B60A8C9678B/asr"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yperlink" Target="http://bit.ly/3Gu2C7m" TargetMode="External"/><Relationship Id="rId7" Type="http://schemas.openxmlformats.org/officeDocument/2006/relationships/hyperlink" Target="https://ec.europa.eu/tools/ecertis/" TargetMode="External"/><Relationship Id="rId8" Type="http://schemas.openxmlformats.org/officeDocument/2006/relationships/hyperlink" Target="http://draudejai.sodra.lt/draudeju_viesi_duomenys/" TargetMode="External"/><Relationship Id="rId9"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vpt.lrv.lt/lt/nuorodos/kiti-duomenys/powerbi/nepatikimi-tiekejai-1/" TargetMode="External"/><Relationship Id="rId11"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index.php" TargetMode="External"/><Relationship Id="rId13"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vmi.lt/evmi/mokesciu-moketoju-informacija" TargetMode="External"/><Relationship Id="rId15" Type="http://schemas.openxmlformats.org/officeDocument/2006/relationships/hyperlink" Target="https://kt.gov.lt/lt/atviri-duomenys/diskvalifikavimas-is-viesuju-pirkimu" TargetMode="Externa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oter" Target="footer4.xm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Relationship Id="rId26" Type="http://schemas.openxmlformats.org/officeDocument/2006/relationships/customXml" Target="../customXml/item2.xml"/><Relationship Id="rId27" Type="http://schemas.openxmlformats.org/officeDocument/2006/relationships/customXml" Target="../customXml/item3.xml"/><Relationship Id="rId2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F0FEF-B2AA-4CB0-82AA-0E091977E540}">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Application>LibreOffice/7.6.4.1$Windows_X86_64 LibreOffice_project/e19e193f88cd6c0525a17fb7a176ed8e6a3e2aa1</Application>
  <AppVersion>15.0000</AppVersion>
  <Pages>35</Pages>
  <Words>7781</Words>
  <Characters>54919</Characters>
  <CharactersWithSpaces>62221</CharactersWithSpaces>
  <Paragraphs>517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2025-12-21T12:51:00Z</dcterms:created>
  <dc:creator>Jovita</dc:creator>
  <dc:description/>
  <dc:language>en-US</dc:language>
  <cp:lastModifiedBy/>
  <dcterms:modified xsi:type="dcterms:W3CDTF">2026-01-29T18:58:53Z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ActionId">
    <vt:lpwstr>febdc73c-f3af-4ef4-bd1e-17e5f1b172f9</vt:lpwstr>
  </property>
  <property fmtid="{D5CDD505-2E9C-101B-9397-08002B2CF9AE}" pid="4" name="MSIP_Label_179ca552-b207-4d72-8d58-818aee87ca18_ContentBits">
    <vt:lpwstr>0</vt:lpwstr>
  </property>
  <property fmtid="{D5CDD505-2E9C-101B-9397-08002B2CF9AE}" pid="5" name="MSIP_Label_179ca552-b207-4d72-8d58-818aee87ca18_Enabled">
    <vt:lpwstr>true</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etDate">
    <vt:lpwstr>2025-12-16T12:47:03Z</vt:lpwstr>
  </property>
  <property fmtid="{D5CDD505-2E9C-101B-9397-08002B2CF9AE}" pid="9" name="MSIP_Label_179ca552-b207-4d72-8d58-818aee87ca18_SiteId">
    <vt:lpwstr>b439ef4d-44b1-4d5a-92fb-b87e549b071c</vt:lpwstr>
  </property>
  <property fmtid="{D5CDD505-2E9C-101B-9397-08002B2CF9AE}" pid="10" name="MSIP_Label_179ca552-b207-4d72-8d58-818aee87ca18_Tag">
    <vt:lpwstr>10, 3, 0, 1</vt:lpwstr>
  </property>
</Properties>
</file>